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ECDC1" w14:textId="4FC618FF" w:rsidR="00AA204B" w:rsidRPr="002A02E2" w:rsidRDefault="003A6E95" w:rsidP="00EE4A95">
      <w:pPr>
        <w:spacing w:before="240" w:after="60" w:line="240" w:lineRule="auto"/>
        <w:ind w:left="1440" w:firstLine="720"/>
        <w:jc w:val="center"/>
        <w:rPr>
          <w:rFonts w:ascii="Arial" w:hAnsi="Arial" w:cs="Arial"/>
          <w:b/>
          <w:sz w:val="20"/>
          <w:szCs w:val="20"/>
        </w:rPr>
      </w:pPr>
      <w:bookmarkStart w:id="0" w:name="_GoBack"/>
      <w:bookmarkEnd w:id="0"/>
      <w:r>
        <w:rPr>
          <w:rFonts w:ascii="Arial" w:hAnsi="Arial" w:cs="Arial"/>
          <w:b/>
          <w:sz w:val="20"/>
          <w:szCs w:val="20"/>
        </w:rPr>
        <w:t>KEY</w:t>
      </w:r>
      <w:r w:rsidR="006617D3">
        <w:rPr>
          <w:rFonts w:ascii="Arial" w:hAnsi="Arial" w:cs="Arial"/>
          <w:b/>
          <w:sz w:val="20"/>
          <w:szCs w:val="20"/>
        </w:rPr>
        <w:t xml:space="preserve"> </w:t>
      </w:r>
      <w:r w:rsidR="00BF643A" w:rsidRPr="002A02E2">
        <w:rPr>
          <w:rFonts w:ascii="Arial" w:hAnsi="Arial" w:cs="Arial"/>
          <w:b/>
          <w:sz w:val="20"/>
          <w:szCs w:val="20"/>
        </w:rPr>
        <w:t>JOB HAZARD</w:t>
      </w:r>
      <w:r w:rsidR="00FF1ACE">
        <w:rPr>
          <w:rFonts w:ascii="Arial" w:hAnsi="Arial" w:cs="Arial"/>
          <w:b/>
          <w:sz w:val="20"/>
          <w:szCs w:val="20"/>
        </w:rPr>
        <w:t>S</w:t>
      </w:r>
      <w:r w:rsidR="00BF643A" w:rsidRPr="002A02E2">
        <w:rPr>
          <w:rFonts w:ascii="Arial" w:hAnsi="Arial" w:cs="Arial"/>
          <w:b/>
          <w:sz w:val="20"/>
          <w:szCs w:val="20"/>
        </w:rPr>
        <w:t xml:space="preserve"> EVALUATION FORM</w:t>
      </w:r>
    </w:p>
    <w:p w14:paraId="39683D88" w14:textId="77777777" w:rsidR="0096092C" w:rsidRDefault="00BF643A" w:rsidP="00EE4A95">
      <w:pPr>
        <w:spacing w:after="0" w:line="240" w:lineRule="auto"/>
        <w:jc w:val="center"/>
        <w:rPr>
          <w:rFonts w:ascii="Arial" w:hAnsi="Arial" w:cs="Arial"/>
          <w:b/>
          <w:color w:val="FF0000"/>
          <w:sz w:val="18"/>
          <w:szCs w:val="18"/>
        </w:rPr>
      </w:pPr>
      <w:r w:rsidRPr="00207649">
        <w:rPr>
          <w:rFonts w:ascii="Arial" w:hAnsi="Arial" w:cs="Arial"/>
          <w:sz w:val="18"/>
          <w:szCs w:val="18"/>
        </w:rPr>
        <w:t xml:space="preserve">This form should be completed by the </w:t>
      </w:r>
      <w:r w:rsidRPr="0043238D">
        <w:rPr>
          <w:rFonts w:ascii="Arial" w:hAnsi="Arial" w:cs="Arial"/>
          <w:b/>
          <w:sz w:val="18"/>
          <w:szCs w:val="18"/>
        </w:rPr>
        <w:t xml:space="preserve">recruiting </w:t>
      </w:r>
      <w:r w:rsidR="00EB37DE">
        <w:rPr>
          <w:rFonts w:ascii="Arial" w:hAnsi="Arial" w:cs="Arial"/>
          <w:b/>
          <w:sz w:val="18"/>
          <w:szCs w:val="18"/>
        </w:rPr>
        <w:t>manager</w:t>
      </w:r>
      <w:r w:rsidR="008B5802">
        <w:rPr>
          <w:rFonts w:ascii="Arial" w:hAnsi="Arial" w:cs="Arial"/>
          <w:b/>
          <w:sz w:val="18"/>
          <w:szCs w:val="18"/>
        </w:rPr>
        <w:t xml:space="preserve"> </w:t>
      </w:r>
      <w:r w:rsidR="005F1CBA">
        <w:rPr>
          <w:rFonts w:ascii="Arial" w:hAnsi="Arial" w:cs="Arial"/>
          <w:b/>
          <w:sz w:val="18"/>
          <w:szCs w:val="18"/>
        </w:rPr>
        <w:t xml:space="preserve">in conjunction </w:t>
      </w:r>
      <w:r w:rsidR="005F1CBA" w:rsidRPr="005F1CBA">
        <w:rPr>
          <w:rFonts w:ascii="Arial" w:hAnsi="Arial" w:cs="Arial"/>
          <w:b/>
          <w:sz w:val="18"/>
          <w:szCs w:val="18"/>
        </w:rPr>
        <w:t>with the job roles supervisor/manager</w:t>
      </w:r>
      <w:r w:rsidR="005F1CBA">
        <w:rPr>
          <w:rFonts w:ascii="Arial" w:hAnsi="Arial" w:cs="Arial"/>
          <w:sz w:val="18"/>
          <w:szCs w:val="18"/>
        </w:rPr>
        <w:t xml:space="preserve"> </w:t>
      </w:r>
      <w:r w:rsidR="008B5802">
        <w:rPr>
          <w:rFonts w:ascii="Arial" w:hAnsi="Arial" w:cs="Arial"/>
          <w:b/>
          <w:sz w:val="18"/>
          <w:szCs w:val="18"/>
        </w:rPr>
        <w:t xml:space="preserve">with advice from their </w:t>
      </w:r>
      <w:r w:rsidR="00FD41BE">
        <w:rPr>
          <w:rFonts w:ascii="Arial" w:hAnsi="Arial" w:cs="Arial"/>
          <w:b/>
          <w:sz w:val="18"/>
          <w:szCs w:val="18"/>
        </w:rPr>
        <w:t>local Health and Safety Adviser</w:t>
      </w:r>
      <w:r w:rsidR="003A6E95">
        <w:rPr>
          <w:rFonts w:ascii="Arial" w:hAnsi="Arial" w:cs="Arial"/>
          <w:b/>
          <w:sz w:val="18"/>
          <w:szCs w:val="18"/>
        </w:rPr>
        <w:t>/Manager</w:t>
      </w:r>
      <w:r w:rsidRPr="008B5802">
        <w:rPr>
          <w:rFonts w:ascii="Arial" w:hAnsi="Arial" w:cs="Arial"/>
          <w:b/>
          <w:sz w:val="18"/>
          <w:szCs w:val="18"/>
        </w:rPr>
        <w:t xml:space="preserve">.  </w:t>
      </w:r>
      <w:r w:rsidR="005F1CBA" w:rsidRPr="005F1CBA">
        <w:rPr>
          <w:rFonts w:ascii="Arial" w:hAnsi="Arial" w:cs="Arial"/>
          <w:b/>
          <w:color w:val="FF0000"/>
          <w:sz w:val="18"/>
          <w:szCs w:val="18"/>
        </w:rPr>
        <w:t xml:space="preserve">Ensure you follow the recruitment guidance </w:t>
      </w:r>
      <w:r w:rsidR="00842A10">
        <w:rPr>
          <w:rFonts w:ascii="Arial" w:hAnsi="Arial" w:cs="Arial"/>
          <w:b/>
          <w:color w:val="FF0000"/>
          <w:sz w:val="18"/>
          <w:szCs w:val="18"/>
        </w:rPr>
        <w:t>at XXX [link to our website]</w:t>
      </w:r>
      <w:r w:rsidR="005F1CBA" w:rsidRPr="005F1CBA">
        <w:rPr>
          <w:rFonts w:ascii="Arial" w:hAnsi="Arial" w:cs="Arial"/>
          <w:b/>
          <w:color w:val="FF0000"/>
          <w:sz w:val="18"/>
          <w:szCs w:val="18"/>
        </w:rPr>
        <w:t xml:space="preserve"> and that you</w:t>
      </w:r>
      <w:r w:rsidR="003A6E95" w:rsidRPr="005F1CBA">
        <w:rPr>
          <w:rFonts w:ascii="Arial" w:hAnsi="Arial" w:cs="Arial"/>
          <w:b/>
          <w:color w:val="FF0000"/>
          <w:sz w:val="18"/>
          <w:szCs w:val="18"/>
        </w:rPr>
        <w:t xml:space="preserve"> follow the appropriate guidance</w:t>
      </w:r>
      <w:r w:rsidR="00106061" w:rsidRPr="005F1CBA">
        <w:rPr>
          <w:rFonts w:ascii="Arial" w:hAnsi="Arial" w:cs="Arial"/>
          <w:b/>
          <w:color w:val="FF0000"/>
          <w:sz w:val="18"/>
          <w:szCs w:val="18"/>
        </w:rPr>
        <w:t xml:space="preserve"> </w:t>
      </w:r>
      <w:r w:rsidR="003C6259">
        <w:rPr>
          <w:rFonts w:ascii="Arial" w:hAnsi="Arial" w:cs="Arial"/>
          <w:b/>
          <w:color w:val="FF0000"/>
          <w:sz w:val="18"/>
          <w:szCs w:val="18"/>
        </w:rPr>
        <w:t>on that page</w:t>
      </w:r>
      <w:r w:rsidR="00106061" w:rsidRPr="005F1CBA">
        <w:rPr>
          <w:rFonts w:ascii="Arial" w:hAnsi="Arial" w:cs="Arial"/>
          <w:b/>
          <w:color w:val="FF0000"/>
          <w:sz w:val="18"/>
          <w:szCs w:val="18"/>
        </w:rPr>
        <w:t>.</w:t>
      </w:r>
    </w:p>
    <w:p w14:paraId="6F0D4AC4" w14:textId="77777777" w:rsidR="005F1CBA" w:rsidRDefault="005F1CBA" w:rsidP="005F1CBA">
      <w:pPr>
        <w:spacing w:after="0" w:line="240" w:lineRule="auto"/>
        <w:jc w:val="center"/>
        <w:rPr>
          <w:rFonts w:ascii="Arial" w:hAnsi="Arial" w:cs="Arial"/>
          <w:b/>
          <w:color w:val="FF0000"/>
          <w:sz w:val="18"/>
          <w:szCs w:val="18"/>
        </w:rPr>
      </w:pPr>
    </w:p>
    <w:p w14:paraId="6BFA4287" w14:textId="77777777" w:rsidR="005F1CBA" w:rsidRPr="005F1CBA" w:rsidRDefault="005F1CBA" w:rsidP="00EE4A95">
      <w:pPr>
        <w:spacing w:after="120" w:line="240" w:lineRule="auto"/>
        <w:ind w:firstLine="720"/>
        <w:rPr>
          <w:rFonts w:ascii="Arial" w:hAnsi="Arial" w:cs="Arial"/>
          <w:sz w:val="18"/>
          <w:szCs w:val="18"/>
        </w:rPr>
      </w:pPr>
      <w:r>
        <w:rPr>
          <w:rFonts w:ascii="Arial" w:hAnsi="Arial" w:cs="Arial"/>
          <w:b/>
          <w:sz w:val="18"/>
          <w:szCs w:val="18"/>
        </w:rPr>
        <w:t xml:space="preserve">Section 1 - </w:t>
      </w:r>
      <w:r w:rsidRPr="005F1CBA">
        <w:rPr>
          <w:rFonts w:ascii="Arial" w:hAnsi="Arial" w:cs="Arial"/>
          <w:b/>
          <w:sz w:val="18"/>
          <w:szCs w:val="18"/>
        </w:rPr>
        <w:t>Prior to Recruitment:</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9497"/>
        <w:gridCol w:w="1560"/>
      </w:tblGrid>
      <w:tr w:rsidR="00EB37DE" w:rsidRPr="002A02E2" w14:paraId="359536B7" w14:textId="77777777" w:rsidTr="00B961C9">
        <w:trPr>
          <w:tblHeader/>
        </w:trPr>
        <w:tc>
          <w:tcPr>
            <w:tcW w:w="3969" w:type="dxa"/>
            <w:gridSpan w:val="2"/>
            <w:shd w:val="clear" w:color="auto" w:fill="auto"/>
            <w:vAlign w:val="bottom"/>
          </w:tcPr>
          <w:p w14:paraId="2A59A3B5" w14:textId="77777777" w:rsidR="00EB37DE" w:rsidRPr="004123E3" w:rsidRDefault="00EB37DE" w:rsidP="00B961C9">
            <w:pPr>
              <w:tabs>
                <w:tab w:val="left" w:pos="432"/>
                <w:tab w:val="right" w:pos="5652"/>
              </w:tabs>
              <w:spacing w:before="60" w:after="60" w:line="240" w:lineRule="auto"/>
              <w:rPr>
                <w:rFonts w:cs="Calibri"/>
                <w:b/>
                <w:sz w:val="18"/>
                <w:szCs w:val="20"/>
              </w:rPr>
            </w:pPr>
            <w:r w:rsidRPr="004123E3">
              <w:rPr>
                <w:rFonts w:cs="Calibri"/>
                <w:b/>
                <w:sz w:val="18"/>
                <w:szCs w:val="20"/>
              </w:rPr>
              <w:t>Please indicate whether this person’s job will involve work with any of the following:</w:t>
            </w:r>
          </w:p>
        </w:tc>
        <w:tc>
          <w:tcPr>
            <w:tcW w:w="9497" w:type="dxa"/>
            <w:shd w:val="clear" w:color="auto" w:fill="auto"/>
            <w:vAlign w:val="bottom"/>
          </w:tcPr>
          <w:p w14:paraId="4BEA2966" w14:textId="77777777" w:rsidR="00EB37DE" w:rsidRPr="004123E3" w:rsidRDefault="00EB37DE" w:rsidP="00B961C9">
            <w:pPr>
              <w:tabs>
                <w:tab w:val="left" w:pos="432"/>
                <w:tab w:val="right" w:pos="5652"/>
              </w:tabs>
              <w:spacing w:before="60" w:after="60" w:line="240" w:lineRule="auto"/>
              <w:rPr>
                <w:rFonts w:cs="Calibri"/>
                <w:b/>
                <w:sz w:val="18"/>
                <w:szCs w:val="20"/>
              </w:rPr>
            </w:pPr>
            <w:r w:rsidRPr="004123E3">
              <w:rPr>
                <w:rFonts w:cs="Calibri"/>
                <w:b/>
                <w:sz w:val="18"/>
                <w:szCs w:val="20"/>
              </w:rPr>
              <w:t xml:space="preserve">Further information </w:t>
            </w:r>
            <w:r w:rsidR="00B95A16">
              <w:rPr>
                <w:rFonts w:cs="Calibri"/>
                <w:b/>
                <w:sz w:val="18"/>
                <w:szCs w:val="20"/>
              </w:rPr>
              <w:t>to inform your plan</w:t>
            </w:r>
          </w:p>
        </w:tc>
        <w:tc>
          <w:tcPr>
            <w:tcW w:w="1560" w:type="dxa"/>
          </w:tcPr>
          <w:p w14:paraId="7143154E" w14:textId="4BABBD5C" w:rsidR="00EB37DE" w:rsidRPr="004123E3" w:rsidRDefault="005F1CBA" w:rsidP="00EE4A95">
            <w:pPr>
              <w:tabs>
                <w:tab w:val="left" w:pos="432"/>
                <w:tab w:val="right" w:pos="5652"/>
              </w:tabs>
              <w:spacing w:before="60" w:after="60" w:line="240" w:lineRule="auto"/>
              <w:rPr>
                <w:rFonts w:cs="Calibri"/>
                <w:b/>
                <w:sz w:val="18"/>
                <w:szCs w:val="20"/>
              </w:rPr>
            </w:pPr>
            <w:r w:rsidRPr="00B95A16">
              <w:rPr>
                <w:rFonts w:cs="Calibri"/>
                <w:b/>
                <w:sz w:val="18"/>
                <w:szCs w:val="20"/>
              </w:rPr>
              <w:t>Enter date once process has been followed:</w:t>
            </w:r>
          </w:p>
        </w:tc>
      </w:tr>
      <w:tr w:rsidR="00EB37DE" w:rsidRPr="002A02E2" w14:paraId="4067C863" w14:textId="77777777" w:rsidTr="00CB5CF6">
        <w:trPr>
          <w:trHeight w:val="1392"/>
        </w:trPr>
        <w:tc>
          <w:tcPr>
            <w:tcW w:w="2552" w:type="dxa"/>
            <w:tcBorders>
              <w:bottom w:val="single" w:sz="4" w:space="0" w:color="auto"/>
              <w:right w:val="single" w:sz="4" w:space="0" w:color="auto"/>
            </w:tcBorders>
            <w:shd w:val="clear" w:color="auto" w:fill="auto"/>
          </w:tcPr>
          <w:p w14:paraId="3860DB2E" w14:textId="77777777" w:rsidR="00EB37DE" w:rsidRDefault="00EB37DE"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Pr>
                <w:rFonts w:cs="Calibri"/>
                <w:sz w:val="18"/>
                <w:szCs w:val="20"/>
              </w:rPr>
              <w:t>A</w:t>
            </w:r>
            <w:r w:rsidRPr="004123E3">
              <w:rPr>
                <w:rFonts w:cs="Calibri"/>
                <w:sz w:val="18"/>
                <w:szCs w:val="20"/>
              </w:rPr>
              <w:t>nimals, including farm animals, insects and birds</w:t>
            </w:r>
          </w:p>
          <w:p w14:paraId="76C53F3C" w14:textId="77777777" w:rsidR="00EB37DE" w:rsidRDefault="00EB37DE" w:rsidP="00B961C9">
            <w:pPr>
              <w:tabs>
                <w:tab w:val="left" w:pos="327"/>
              </w:tabs>
              <w:spacing w:before="60" w:after="60" w:line="240" w:lineRule="auto"/>
              <w:rPr>
                <w:rFonts w:cs="Calibri"/>
                <w:b/>
                <w:sz w:val="18"/>
                <w:szCs w:val="20"/>
              </w:rPr>
            </w:pPr>
            <w:r>
              <w:rPr>
                <w:rFonts w:cs="Calibri"/>
                <w:sz w:val="18"/>
                <w:szCs w:val="20"/>
              </w:rPr>
              <w:tab/>
            </w:r>
          </w:p>
          <w:p w14:paraId="0817E499" w14:textId="77777777" w:rsidR="00EB37DE" w:rsidRPr="009E5805" w:rsidRDefault="00EB37DE" w:rsidP="00B961C9">
            <w:pPr>
              <w:tabs>
                <w:tab w:val="left" w:pos="327"/>
              </w:tabs>
              <w:spacing w:before="60" w:after="60" w:line="240" w:lineRule="auto"/>
              <w:rPr>
                <w:rFonts w:cs="Calibri"/>
                <w:b/>
                <w:sz w:val="18"/>
                <w:szCs w:val="20"/>
              </w:rPr>
            </w:pPr>
          </w:p>
          <w:p w14:paraId="17A9888B" w14:textId="77777777" w:rsidR="00EB37DE" w:rsidRPr="004123E3" w:rsidRDefault="00EB37DE" w:rsidP="00B961C9">
            <w:pPr>
              <w:pStyle w:val="ListParagraph"/>
              <w:tabs>
                <w:tab w:val="left" w:pos="318"/>
                <w:tab w:val="right" w:pos="5652"/>
              </w:tabs>
              <w:spacing w:before="60" w:after="60" w:line="240" w:lineRule="auto"/>
              <w:ind w:left="176"/>
              <w:rPr>
                <w:rFonts w:cs="Calibri"/>
                <w:sz w:val="18"/>
                <w:szCs w:val="20"/>
              </w:rPr>
            </w:pPr>
          </w:p>
        </w:tc>
        <w:tc>
          <w:tcPr>
            <w:tcW w:w="1417" w:type="dxa"/>
            <w:tcBorders>
              <w:left w:val="single" w:sz="4" w:space="0" w:color="auto"/>
            </w:tcBorders>
          </w:tcPr>
          <w:p w14:paraId="5DE7F07F" w14:textId="77777777" w:rsidR="00EB37DE" w:rsidRDefault="00EB37DE"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p w14:paraId="2602143A" w14:textId="77777777" w:rsidR="00EB37DE" w:rsidRPr="004123E3" w:rsidRDefault="00EB37DE" w:rsidP="00B961C9">
            <w:pPr>
              <w:spacing w:before="60" w:after="60" w:line="240" w:lineRule="auto"/>
              <w:rPr>
                <w:rFonts w:cs="Calibri"/>
                <w:b/>
                <w:sz w:val="18"/>
                <w:szCs w:val="20"/>
              </w:rPr>
            </w:pPr>
          </w:p>
        </w:tc>
        <w:tc>
          <w:tcPr>
            <w:tcW w:w="9497" w:type="dxa"/>
            <w:shd w:val="clear" w:color="auto" w:fill="auto"/>
          </w:tcPr>
          <w:p w14:paraId="38CEB19D" w14:textId="77777777" w:rsidR="00B95A16" w:rsidRPr="00B95A16" w:rsidRDefault="00B95A16" w:rsidP="00B961C9">
            <w:pPr>
              <w:spacing w:before="60" w:after="60" w:line="240" w:lineRule="auto"/>
              <w:rPr>
                <w:rFonts w:cs="Calibri"/>
                <w:b/>
                <w:sz w:val="18"/>
                <w:szCs w:val="20"/>
              </w:rPr>
            </w:pPr>
            <w:r>
              <w:rPr>
                <w:rFonts w:cs="Calibri"/>
                <w:b/>
                <w:sz w:val="18"/>
                <w:szCs w:val="20"/>
              </w:rPr>
              <w:t xml:space="preserve">Further guidance on management of exposure to laboratory animal allergens can be found at </w:t>
            </w:r>
            <w:hyperlink r:id="rId10" w:history="1">
              <w:r w:rsidRPr="007D4DAB">
                <w:rPr>
                  <w:rStyle w:val="Hyperlink"/>
                  <w:rFonts w:cs="Calibri"/>
                  <w:b/>
                  <w:sz w:val="18"/>
                  <w:szCs w:val="20"/>
                </w:rPr>
                <w:t>https://www.edweb.ed.ac.uk/health-safety/guidance/hazardous-substances/animal-allergens</w:t>
              </w:r>
            </w:hyperlink>
            <w:r>
              <w:rPr>
                <w:rFonts w:cs="Calibri"/>
                <w:b/>
                <w:sz w:val="18"/>
                <w:szCs w:val="20"/>
              </w:rPr>
              <w:t xml:space="preserve">  including the requirement for registration on the CHPS system.</w:t>
            </w:r>
          </w:p>
          <w:p w14:paraId="6C80A4E1" w14:textId="77777777" w:rsidR="00EB37DE" w:rsidRDefault="00EB37DE" w:rsidP="00B961C9">
            <w:pPr>
              <w:spacing w:before="60" w:after="60" w:line="240" w:lineRule="auto"/>
              <w:rPr>
                <w:rFonts w:cs="Calibri"/>
                <w:sz w:val="18"/>
                <w:szCs w:val="20"/>
              </w:rPr>
            </w:pPr>
            <w:r w:rsidRPr="006647B1">
              <w:rPr>
                <w:rFonts w:cs="Calibri"/>
                <w:sz w:val="18"/>
                <w:szCs w:val="20"/>
              </w:rPr>
              <w:t xml:space="preserve">Enrolment on the </w:t>
            </w:r>
            <w:r>
              <w:rPr>
                <w:rFonts w:cs="Calibri"/>
                <w:sz w:val="18"/>
                <w:szCs w:val="20"/>
              </w:rPr>
              <w:t xml:space="preserve">University </w:t>
            </w:r>
            <w:r w:rsidRPr="006647B1">
              <w:rPr>
                <w:rFonts w:cs="Calibri"/>
                <w:sz w:val="18"/>
                <w:szCs w:val="20"/>
              </w:rPr>
              <w:t>health surveillance programme will be necessary on commencement of employment</w:t>
            </w:r>
            <w:r>
              <w:rPr>
                <w:rFonts w:cs="Calibri"/>
                <w:sz w:val="18"/>
                <w:szCs w:val="20"/>
              </w:rPr>
              <w:t xml:space="preserve"> and prior to exposure</w:t>
            </w:r>
            <w:r w:rsidR="00842A10">
              <w:rPr>
                <w:rFonts w:cs="Calibri"/>
                <w:sz w:val="18"/>
                <w:szCs w:val="20"/>
              </w:rPr>
              <w:t xml:space="preserve">, see </w:t>
            </w:r>
            <w:hyperlink r:id="rId11" w:history="1">
              <w:r w:rsidR="00842A10" w:rsidRPr="005566CA">
                <w:rPr>
                  <w:rStyle w:val="Hyperlink"/>
                  <w:rFonts w:cs="Calibri"/>
                  <w:sz w:val="18"/>
                  <w:szCs w:val="20"/>
                </w:rPr>
                <w:t>https://www.edweb.ed.ac.uk/health-safety/occupational-health/managers/health-surveillance/vaccinations-for-manager</w:t>
              </w:r>
            </w:hyperlink>
            <w:r w:rsidR="00842A10">
              <w:rPr>
                <w:rFonts w:cs="Calibri"/>
                <w:sz w:val="18"/>
                <w:szCs w:val="20"/>
              </w:rPr>
              <w:t xml:space="preserve"> </w:t>
            </w:r>
          </w:p>
          <w:p w14:paraId="1E424B91" w14:textId="2DAD8467" w:rsidR="00EB37DE" w:rsidRPr="006647B1" w:rsidRDefault="00EB37DE" w:rsidP="00B961C9">
            <w:pPr>
              <w:spacing w:before="60" w:after="60" w:line="240" w:lineRule="auto"/>
              <w:rPr>
                <w:rFonts w:cs="Calibri"/>
                <w:sz w:val="18"/>
                <w:szCs w:val="20"/>
              </w:rPr>
            </w:pPr>
            <w:r>
              <w:rPr>
                <w:rFonts w:cs="Calibri"/>
                <w:sz w:val="18"/>
                <w:szCs w:val="20"/>
              </w:rPr>
              <w:t>Also consider possible</w:t>
            </w:r>
            <w:r w:rsidR="008550BD">
              <w:rPr>
                <w:rFonts w:cs="Calibri"/>
                <w:sz w:val="18"/>
                <w:szCs w:val="20"/>
              </w:rPr>
              <w:t xml:space="preserve"> significant</w:t>
            </w:r>
            <w:r w:rsidRPr="006647B1">
              <w:rPr>
                <w:rFonts w:cs="Calibri"/>
                <w:sz w:val="18"/>
                <w:szCs w:val="20"/>
              </w:rPr>
              <w:t xml:space="preserve"> indirect contact, e.g., through location of office/laboratory in relation to the animal facility</w:t>
            </w:r>
            <w:r>
              <w:rPr>
                <w:rFonts w:cs="Calibri"/>
                <w:sz w:val="18"/>
                <w:szCs w:val="20"/>
              </w:rPr>
              <w:t xml:space="preserve"> or maintenance work</w:t>
            </w:r>
            <w:r w:rsidRPr="006647B1">
              <w:rPr>
                <w:rFonts w:cs="Calibri"/>
                <w:sz w:val="18"/>
                <w:szCs w:val="20"/>
              </w:rPr>
              <w:t>, include domestic (farm animals and birds).</w:t>
            </w:r>
          </w:p>
        </w:tc>
        <w:tc>
          <w:tcPr>
            <w:tcW w:w="1560" w:type="dxa"/>
          </w:tcPr>
          <w:p w14:paraId="7059CF04" w14:textId="77777777" w:rsidR="00EB37DE" w:rsidRPr="006647B1" w:rsidRDefault="00EB37DE" w:rsidP="00B961C9">
            <w:pPr>
              <w:spacing w:before="60" w:after="60" w:line="240" w:lineRule="auto"/>
              <w:rPr>
                <w:rFonts w:cs="Calibri"/>
                <w:sz w:val="18"/>
                <w:szCs w:val="20"/>
              </w:rPr>
            </w:pPr>
          </w:p>
        </w:tc>
      </w:tr>
      <w:tr w:rsidR="00EB37DE" w:rsidRPr="002A02E2" w14:paraId="686F757A" w14:textId="77777777" w:rsidTr="00CB5CF6">
        <w:tc>
          <w:tcPr>
            <w:tcW w:w="2552" w:type="dxa"/>
            <w:tcBorders>
              <w:bottom w:val="single" w:sz="4" w:space="0" w:color="auto"/>
              <w:right w:val="single" w:sz="4" w:space="0" w:color="auto"/>
            </w:tcBorders>
            <w:shd w:val="clear" w:color="auto" w:fill="auto"/>
          </w:tcPr>
          <w:p w14:paraId="687F4239" w14:textId="77777777" w:rsidR="00EB37DE" w:rsidRPr="002C069A" w:rsidRDefault="00EB37DE" w:rsidP="00B961C9">
            <w:pPr>
              <w:pStyle w:val="ListParagraph"/>
              <w:numPr>
                <w:ilvl w:val="0"/>
                <w:numId w:val="2"/>
              </w:numPr>
              <w:tabs>
                <w:tab w:val="left" w:pos="34"/>
                <w:tab w:val="left" w:pos="318"/>
                <w:tab w:val="right" w:pos="5652"/>
              </w:tabs>
              <w:spacing w:before="60" w:after="60" w:line="240" w:lineRule="auto"/>
              <w:ind w:left="346"/>
              <w:rPr>
                <w:rFonts w:cs="Calibri"/>
                <w:sz w:val="18"/>
                <w:szCs w:val="20"/>
              </w:rPr>
            </w:pPr>
            <w:r>
              <w:rPr>
                <w:rFonts w:cs="Calibri"/>
                <w:sz w:val="18"/>
                <w:szCs w:val="20"/>
              </w:rPr>
              <w:t>Working with</w:t>
            </w:r>
            <w:r w:rsidRPr="005F2E74">
              <w:rPr>
                <w:rFonts w:cs="Calibri"/>
                <w:iCs/>
                <w:sz w:val="18"/>
                <w:szCs w:val="20"/>
              </w:rPr>
              <w:t xml:space="preserve"> pathogens or </w:t>
            </w:r>
            <w:r>
              <w:rPr>
                <w:rFonts w:cs="Calibri"/>
                <w:iCs/>
                <w:sz w:val="18"/>
                <w:szCs w:val="20"/>
              </w:rPr>
              <w:t xml:space="preserve">pathogen infected materials. </w:t>
            </w:r>
          </w:p>
        </w:tc>
        <w:tc>
          <w:tcPr>
            <w:tcW w:w="1417" w:type="dxa"/>
            <w:tcBorders>
              <w:left w:val="single" w:sz="4" w:space="0" w:color="auto"/>
            </w:tcBorders>
          </w:tcPr>
          <w:p w14:paraId="751C70C0" w14:textId="77777777" w:rsidR="00EB37DE" w:rsidRPr="004123E3" w:rsidRDefault="00EB37DE"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5F1E731A" w14:textId="77777777" w:rsidR="00EB37DE" w:rsidRPr="002C069A" w:rsidRDefault="00EB37DE" w:rsidP="00B961C9">
            <w:pPr>
              <w:spacing w:before="60" w:after="60" w:line="240" w:lineRule="auto"/>
              <w:rPr>
                <w:rFonts w:cs="Calibri"/>
                <w:sz w:val="18"/>
                <w:szCs w:val="20"/>
              </w:rPr>
            </w:pPr>
            <w:r w:rsidRPr="002C069A">
              <w:rPr>
                <w:rFonts w:cs="Calibri"/>
                <w:sz w:val="18"/>
                <w:szCs w:val="20"/>
              </w:rPr>
              <w:t xml:space="preserve">Vaccinations may be required, for more information see </w:t>
            </w:r>
            <w:hyperlink r:id="rId12" w:history="1">
              <w:r w:rsidR="00842A10" w:rsidRPr="005566CA">
                <w:rPr>
                  <w:rStyle w:val="Hyperlink"/>
                  <w:rFonts w:cs="Calibri"/>
                  <w:sz w:val="18"/>
                  <w:szCs w:val="20"/>
                </w:rPr>
                <w:t>https://www.edweb.ed.ac.uk/health-safety/occupational-health/managers/health-surveillance/vaccinations-for-manager</w:t>
              </w:r>
            </w:hyperlink>
            <w:r w:rsidR="00842A10">
              <w:rPr>
                <w:rFonts w:cs="Calibri"/>
                <w:sz w:val="18"/>
                <w:szCs w:val="20"/>
              </w:rPr>
              <w:t xml:space="preserve"> </w:t>
            </w:r>
          </w:p>
        </w:tc>
        <w:tc>
          <w:tcPr>
            <w:tcW w:w="1560" w:type="dxa"/>
          </w:tcPr>
          <w:p w14:paraId="2E32A84E" w14:textId="77777777" w:rsidR="00EB37DE" w:rsidRPr="002C069A" w:rsidRDefault="00EB37DE" w:rsidP="00B961C9">
            <w:pPr>
              <w:spacing w:before="60" w:after="60" w:line="240" w:lineRule="auto"/>
              <w:rPr>
                <w:rFonts w:cs="Calibri"/>
                <w:sz w:val="18"/>
                <w:szCs w:val="20"/>
              </w:rPr>
            </w:pPr>
          </w:p>
        </w:tc>
      </w:tr>
      <w:tr w:rsidR="00EB37DE" w:rsidRPr="002A02E2" w14:paraId="73F9F496" w14:textId="77777777" w:rsidTr="00CB5CF6">
        <w:tc>
          <w:tcPr>
            <w:tcW w:w="2552" w:type="dxa"/>
            <w:tcBorders>
              <w:right w:val="single" w:sz="4" w:space="0" w:color="auto"/>
            </w:tcBorders>
            <w:shd w:val="clear" w:color="auto" w:fill="auto"/>
          </w:tcPr>
          <w:p w14:paraId="16FAAB8E" w14:textId="77777777" w:rsidR="00EB37DE" w:rsidRPr="004123E3" w:rsidRDefault="00EB37DE"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Pr>
                <w:rFonts w:cs="Calibri"/>
                <w:sz w:val="18"/>
                <w:szCs w:val="20"/>
              </w:rPr>
              <w:t>Working with</w:t>
            </w:r>
            <w:r w:rsidRPr="005F2E74">
              <w:rPr>
                <w:rFonts w:cs="Calibri"/>
                <w:iCs/>
                <w:sz w:val="18"/>
                <w:szCs w:val="20"/>
              </w:rPr>
              <w:t xml:space="preserve"> pathogens or </w:t>
            </w:r>
            <w:r>
              <w:rPr>
                <w:rFonts w:cs="Calibri"/>
                <w:iCs/>
                <w:sz w:val="18"/>
                <w:szCs w:val="20"/>
              </w:rPr>
              <w:t xml:space="preserve">genetically modified organisms </w:t>
            </w:r>
            <w:r w:rsidR="00B95A16">
              <w:rPr>
                <w:rFonts w:cs="Calibri"/>
                <w:iCs/>
                <w:sz w:val="18"/>
                <w:szCs w:val="20"/>
              </w:rPr>
              <w:t xml:space="preserve"> in containment level </w:t>
            </w:r>
          </w:p>
        </w:tc>
        <w:tc>
          <w:tcPr>
            <w:tcW w:w="1417" w:type="dxa"/>
            <w:tcBorders>
              <w:left w:val="single" w:sz="4" w:space="0" w:color="auto"/>
            </w:tcBorders>
          </w:tcPr>
          <w:p w14:paraId="29941F15" w14:textId="77777777" w:rsidR="00EB37DE" w:rsidRPr="004123E3" w:rsidRDefault="00EB37DE"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327940D2" w14:textId="77777777" w:rsidR="00EB37DE" w:rsidRPr="002C069A" w:rsidRDefault="00EB37DE" w:rsidP="00B961C9">
            <w:pPr>
              <w:spacing w:before="60" w:after="60" w:line="240" w:lineRule="auto"/>
              <w:rPr>
                <w:rFonts w:cs="Calibri"/>
                <w:sz w:val="18"/>
                <w:szCs w:val="20"/>
              </w:rPr>
            </w:pPr>
            <w:r>
              <w:rPr>
                <w:rFonts w:cs="Calibri"/>
                <w:sz w:val="18"/>
                <w:szCs w:val="20"/>
              </w:rPr>
              <w:t>I</w:t>
            </w:r>
            <w:r w:rsidRPr="006647B1">
              <w:rPr>
                <w:rFonts w:cs="Calibri"/>
                <w:sz w:val="18"/>
                <w:szCs w:val="20"/>
              </w:rPr>
              <w:t>f the person will be culturing or handling cultures of Hazard Group 3 pat</w:t>
            </w:r>
            <w:r w:rsidRPr="002C069A">
              <w:rPr>
                <w:rFonts w:cs="Calibri"/>
                <w:sz w:val="18"/>
                <w:szCs w:val="20"/>
              </w:rPr>
              <w:t xml:space="preserve">hogens or GMOs classified as class 3 projects on the basis of their risk to </w:t>
            </w:r>
            <w:r w:rsidRPr="002C069A">
              <w:rPr>
                <w:rFonts w:cs="Calibri"/>
                <w:i/>
                <w:sz w:val="18"/>
                <w:szCs w:val="20"/>
              </w:rPr>
              <w:t xml:space="preserve">human </w:t>
            </w:r>
            <w:r w:rsidRPr="002C069A">
              <w:rPr>
                <w:rFonts w:cs="Calibri"/>
                <w:sz w:val="18"/>
                <w:szCs w:val="20"/>
              </w:rPr>
              <w:t>health</w:t>
            </w:r>
            <w:r w:rsidRPr="002C069A">
              <w:rPr>
                <w:rFonts w:cs="Calibri"/>
                <w:i/>
                <w:sz w:val="18"/>
                <w:szCs w:val="20"/>
              </w:rPr>
              <w:t xml:space="preserve"> </w:t>
            </w:r>
            <w:r w:rsidRPr="002C069A">
              <w:rPr>
                <w:rFonts w:cs="Calibri"/>
                <w:sz w:val="18"/>
                <w:szCs w:val="20"/>
              </w:rPr>
              <w:t>the person responsible should ensure that expert advice on risk assessments is obtained from the Biological Safety Committee to identify any health requirements.</w:t>
            </w:r>
          </w:p>
          <w:p w14:paraId="70B88A1C" w14:textId="77777777" w:rsidR="00EB37DE" w:rsidRPr="002C069A" w:rsidRDefault="00EB37DE" w:rsidP="00B961C9">
            <w:pPr>
              <w:spacing w:before="60" w:after="60" w:line="240" w:lineRule="auto"/>
              <w:rPr>
                <w:rFonts w:cs="Calibri"/>
                <w:sz w:val="18"/>
                <w:szCs w:val="20"/>
              </w:rPr>
            </w:pPr>
          </w:p>
          <w:p w14:paraId="72973B7F" w14:textId="77777777" w:rsidR="00EB37DE" w:rsidRPr="002C069A" w:rsidRDefault="00EB37DE" w:rsidP="00B961C9">
            <w:pPr>
              <w:spacing w:before="60" w:after="60" w:line="240" w:lineRule="auto"/>
              <w:rPr>
                <w:rFonts w:cs="Calibri"/>
                <w:sz w:val="18"/>
                <w:szCs w:val="20"/>
              </w:rPr>
            </w:pPr>
            <w:r w:rsidRPr="002C069A">
              <w:rPr>
                <w:rFonts w:cs="Calibri"/>
                <w:sz w:val="18"/>
                <w:szCs w:val="20"/>
              </w:rPr>
              <w:t>Referral to OHS can be considered IF REQUIRED and as indicated by the School Biological Safety Adviser.</w:t>
            </w:r>
          </w:p>
          <w:p w14:paraId="2ED2638F" w14:textId="77777777" w:rsidR="00EB37DE" w:rsidRPr="002C069A" w:rsidRDefault="00EB37DE" w:rsidP="00B961C9">
            <w:pPr>
              <w:spacing w:before="60" w:after="60" w:line="240" w:lineRule="auto"/>
              <w:rPr>
                <w:rFonts w:cs="Calibri"/>
                <w:sz w:val="18"/>
                <w:szCs w:val="20"/>
              </w:rPr>
            </w:pPr>
            <w:r w:rsidRPr="002C069A">
              <w:rPr>
                <w:rFonts w:cs="Calibri"/>
                <w:sz w:val="18"/>
                <w:szCs w:val="20"/>
              </w:rPr>
              <w:t xml:space="preserve">Vaccinations may be required, for more information see </w:t>
            </w:r>
            <w:hyperlink r:id="rId13" w:history="1">
              <w:r w:rsidR="00842A10" w:rsidRPr="005566CA">
                <w:rPr>
                  <w:rStyle w:val="Hyperlink"/>
                  <w:rFonts w:cs="Calibri"/>
                  <w:sz w:val="18"/>
                  <w:szCs w:val="20"/>
                </w:rPr>
                <w:t>https://www.edweb.ed.ac.uk/health-safety/occupational-health/managers/health-surveillance/vaccinations-for-manager</w:t>
              </w:r>
            </w:hyperlink>
            <w:r w:rsidR="00842A10">
              <w:rPr>
                <w:rFonts w:cs="Calibri"/>
                <w:sz w:val="18"/>
                <w:szCs w:val="20"/>
              </w:rPr>
              <w:t xml:space="preserve"> </w:t>
            </w:r>
          </w:p>
          <w:p w14:paraId="5842387E" w14:textId="77777777" w:rsidR="00EB37DE" w:rsidRPr="002C069A" w:rsidRDefault="00EB37DE" w:rsidP="00B961C9">
            <w:pPr>
              <w:spacing w:before="60" w:after="60" w:line="240" w:lineRule="auto"/>
              <w:rPr>
                <w:rFonts w:cs="Calibri"/>
                <w:i/>
                <w:sz w:val="18"/>
                <w:szCs w:val="20"/>
              </w:rPr>
            </w:pPr>
          </w:p>
          <w:p w14:paraId="7F7E27EA" w14:textId="77777777" w:rsidR="00EB37DE" w:rsidRPr="002C069A" w:rsidRDefault="00EB37DE" w:rsidP="00B961C9">
            <w:pPr>
              <w:spacing w:before="60" w:after="60" w:line="240" w:lineRule="auto"/>
              <w:rPr>
                <w:rFonts w:cs="Calibri"/>
                <w:b/>
                <w:sz w:val="18"/>
                <w:szCs w:val="20"/>
              </w:rPr>
            </w:pPr>
            <w:r w:rsidRPr="002C069A">
              <w:rPr>
                <w:rFonts w:cs="Calibri"/>
                <w:sz w:val="18"/>
                <w:szCs w:val="20"/>
              </w:rPr>
              <w:t>Health record for exposure to hazard group 3 biological agents</w:t>
            </w:r>
          </w:p>
        </w:tc>
        <w:tc>
          <w:tcPr>
            <w:tcW w:w="1560" w:type="dxa"/>
          </w:tcPr>
          <w:p w14:paraId="25CE3CA9" w14:textId="77777777" w:rsidR="00EB37DE" w:rsidRDefault="00EB37DE" w:rsidP="00B961C9">
            <w:pPr>
              <w:spacing w:before="60" w:after="60" w:line="240" w:lineRule="auto"/>
              <w:rPr>
                <w:rFonts w:cs="Calibri"/>
                <w:sz w:val="18"/>
                <w:szCs w:val="20"/>
              </w:rPr>
            </w:pPr>
          </w:p>
        </w:tc>
      </w:tr>
      <w:tr w:rsidR="00EB37DE" w:rsidRPr="002A02E2" w14:paraId="0D8F4219" w14:textId="77777777" w:rsidTr="00CB5CF6">
        <w:tc>
          <w:tcPr>
            <w:tcW w:w="2552" w:type="dxa"/>
            <w:tcBorders>
              <w:right w:val="single" w:sz="4" w:space="0" w:color="auto"/>
            </w:tcBorders>
            <w:shd w:val="clear" w:color="auto" w:fill="auto"/>
          </w:tcPr>
          <w:p w14:paraId="57290C7C" w14:textId="77777777" w:rsidR="00EB37DE" w:rsidRDefault="00EB37DE"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Pr>
                <w:rFonts w:cs="Calibri"/>
                <w:sz w:val="18"/>
                <w:szCs w:val="20"/>
              </w:rPr>
              <w:t>H</w:t>
            </w:r>
            <w:r w:rsidRPr="004123E3">
              <w:rPr>
                <w:rFonts w:cs="Calibri"/>
                <w:sz w:val="18"/>
                <w:szCs w:val="20"/>
              </w:rPr>
              <w:t>uman tissue</w:t>
            </w:r>
            <w:r>
              <w:rPr>
                <w:rFonts w:cs="Calibri"/>
                <w:sz w:val="18"/>
                <w:szCs w:val="20"/>
              </w:rPr>
              <w:t>s</w:t>
            </w:r>
            <w:r w:rsidRPr="004123E3">
              <w:rPr>
                <w:rFonts w:cs="Calibri"/>
                <w:sz w:val="18"/>
                <w:szCs w:val="20"/>
              </w:rPr>
              <w:t xml:space="preserve"> and blood</w:t>
            </w:r>
          </w:p>
        </w:tc>
        <w:tc>
          <w:tcPr>
            <w:tcW w:w="1417" w:type="dxa"/>
            <w:tcBorders>
              <w:left w:val="single" w:sz="4" w:space="0" w:color="auto"/>
            </w:tcBorders>
          </w:tcPr>
          <w:p w14:paraId="5CD0E3C3" w14:textId="77777777" w:rsidR="00EB37DE" w:rsidRPr="004123E3" w:rsidRDefault="00EB37DE"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54BE8D33" w14:textId="77777777" w:rsidR="00EB37DE" w:rsidRPr="002C069A" w:rsidRDefault="00EB37DE" w:rsidP="00B961C9">
            <w:pPr>
              <w:spacing w:before="60" w:after="60" w:line="240" w:lineRule="auto"/>
              <w:rPr>
                <w:rFonts w:cs="Calibri"/>
                <w:sz w:val="18"/>
                <w:szCs w:val="20"/>
              </w:rPr>
            </w:pPr>
            <w:r w:rsidRPr="002C069A">
              <w:rPr>
                <w:rFonts w:cs="Calibri"/>
                <w:sz w:val="18"/>
                <w:szCs w:val="20"/>
              </w:rPr>
              <w:t>If ‘yes’ please forward copies of documentary evidence of the individuals hepatitis B immunisation vaccination records and blood test results (e.g. GP print out and/or vaccination record book) to OHS.</w:t>
            </w:r>
          </w:p>
          <w:p w14:paraId="68D38D5A" w14:textId="59222BF4" w:rsidR="00EB37DE" w:rsidRDefault="00EB37DE" w:rsidP="00B961C9">
            <w:pPr>
              <w:spacing w:before="60" w:after="60" w:line="240" w:lineRule="auto"/>
              <w:rPr>
                <w:rFonts w:cs="Calibri"/>
                <w:sz w:val="18"/>
                <w:szCs w:val="20"/>
              </w:rPr>
            </w:pPr>
            <w:r w:rsidRPr="002C069A">
              <w:rPr>
                <w:rFonts w:cs="Calibri"/>
                <w:sz w:val="18"/>
                <w:szCs w:val="20"/>
              </w:rPr>
              <w:t xml:space="preserve">Vaccinations may be required, for more information see </w:t>
            </w:r>
            <w:hyperlink r:id="rId14" w:history="1">
              <w:r w:rsidR="00842A10" w:rsidRPr="005566CA">
                <w:rPr>
                  <w:rStyle w:val="Hyperlink"/>
                  <w:rFonts w:cs="Calibri"/>
                  <w:sz w:val="18"/>
                  <w:szCs w:val="20"/>
                </w:rPr>
                <w:t>https://www.edweb.ed.ac.uk/health-safety/occupational-health/managers/health-surveillance/vaccinations-for-manager</w:t>
              </w:r>
            </w:hyperlink>
            <w:r w:rsidR="00842A10">
              <w:rPr>
                <w:rFonts w:cs="Calibri"/>
                <w:sz w:val="18"/>
                <w:szCs w:val="20"/>
              </w:rPr>
              <w:t xml:space="preserve"> </w:t>
            </w:r>
          </w:p>
        </w:tc>
        <w:tc>
          <w:tcPr>
            <w:tcW w:w="1560" w:type="dxa"/>
          </w:tcPr>
          <w:p w14:paraId="16E29588" w14:textId="77777777" w:rsidR="00EB37DE" w:rsidRPr="002C069A" w:rsidRDefault="00EB37DE" w:rsidP="00B961C9">
            <w:pPr>
              <w:spacing w:before="60" w:after="60" w:line="240" w:lineRule="auto"/>
              <w:rPr>
                <w:rFonts w:cs="Calibri"/>
                <w:sz w:val="18"/>
                <w:szCs w:val="20"/>
              </w:rPr>
            </w:pPr>
          </w:p>
        </w:tc>
      </w:tr>
      <w:tr w:rsidR="00EB37DE" w:rsidRPr="002A02E2" w14:paraId="4F37447E" w14:textId="77777777" w:rsidTr="00CB5CF6">
        <w:trPr>
          <w:cantSplit/>
        </w:trPr>
        <w:tc>
          <w:tcPr>
            <w:tcW w:w="2552" w:type="dxa"/>
            <w:tcBorders>
              <w:right w:val="single" w:sz="4" w:space="0" w:color="auto"/>
            </w:tcBorders>
            <w:shd w:val="clear" w:color="auto" w:fill="auto"/>
          </w:tcPr>
          <w:p w14:paraId="4BE77BB1" w14:textId="53981C01" w:rsidR="00EB37DE" w:rsidRPr="004123E3" w:rsidRDefault="00EB37DE"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Pr>
                <w:rFonts w:cs="Calibri"/>
                <w:sz w:val="18"/>
                <w:szCs w:val="20"/>
              </w:rPr>
              <w:lastRenderedPageBreak/>
              <w:t>W</w:t>
            </w:r>
            <w:r w:rsidRPr="00B6248B">
              <w:rPr>
                <w:rFonts w:cs="Calibri"/>
                <w:sz w:val="18"/>
                <w:szCs w:val="20"/>
              </w:rPr>
              <w:t>ork with</w:t>
            </w:r>
            <w:r>
              <w:rPr>
                <w:rFonts w:cs="Calibri"/>
                <w:sz w:val="18"/>
                <w:szCs w:val="20"/>
              </w:rPr>
              <w:t xml:space="preserve"> </w:t>
            </w:r>
            <w:r w:rsidRPr="00EF5450">
              <w:rPr>
                <w:rFonts w:cs="Calibri"/>
                <w:b/>
                <w:i/>
                <w:sz w:val="18"/>
                <w:szCs w:val="20"/>
              </w:rPr>
              <w:t>ionising</w:t>
            </w:r>
            <w:r w:rsidRPr="00B6248B">
              <w:rPr>
                <w:rFonts w:cs="Calibri"/>
                <w:sz w:val="18"/>
                <w:szCs w:val="20"/>
              </w:rPr>
              <w:t xml:space="preserve"> radiation that requires</w:t>
            </w:r>
            <w:r w:rsidR="00CD6D56">
              <w:rPr>
                <w:rFonts w:cs="Calibri"/>
                <w:sz w:val="18"/>
                <w:szCs w:val="20"/>
              </w:rPr>
              <w:t xml:space="preserve"> the individual to be designated as a Classified Person.</w:t>
            </w:r>
            <w:r w:rsidRPr="00B6248B">
              <w:rPr>
                <w:rFonts w:cs="Calibri"/>
                <w:sz w:val="18"/>
                <w:szCs w:val="20"/>
              </w:rPr>
              <w:t xml:space="preserve"> </w:t>
            </w:r>
          </w:p>
        </w:tc>
        <w:tc>
          <w:tcPr>
            <w:tcW w:w="1417" w:type="dxa"/>
            <w:tcBorders>
              <w:left w:val="single" w:sz="4" w:space="0" w:color="auto"/>
            </w:tcBorders>
          </w:tcPr>
          <w:p w14:paraId="0A812180" w14:textId="77777777" w:rsidR="00EB37DE" w:rsidRPr="004123E3" w:rsidRDefault="00EB37DE"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7B71AB25" w14:textId="24456A9E" w:rsidR="00CD6D56" w:rsidRDefault="00CD6D56" w:rsidP="00B961C9">
            <w:pPr>
              <w:spacing w:before="60" w:after="60" w:line="240" w:lineRule="auto"/>
              <w:rPr>
                <w:rFonts w:cs="Calibri"/>
                <w:sz w:val="18"/>
                <w:szCs w:val="20"/>
              </w:rPr>
            </w:pPr>
            <w:r>
              <w:rPr>
                <w:rFonts w:cs="Calibri"/>
                <w:sz w:val="18"/>
                <w:szCs w:val="20"/>
              </w:rPr>
              <w:t>A Risk Assessment is required prior to starting any work with ionising radiation. This Risk Assessment should identify whether the individual requires designation as a Classified Person. An individual may require designation as a Classified Person if their w</w:t>
            </w:r>
            <w:r w:rsidRPr="006647B1">
              <w:rPr>
                <w:rFonts w:cs="Calibri"/>
                <w:sz w:val="18"/>
                <w:szCs w:val="20"/>
              </w:rPr>
              <w:t xml:space="preserve">ork with radioactive substances or </w:t>
            </w:r>
            <w:r>
              <w:rPr>
                <w:rFonts w:cs="Calibri"/>
                <w:sz w:val="18"/>
                <w:szCs w:val="20"/>
              </w:rPr>
              <w:t>radiation</w:t>
            </w:r>
            <w:r w:rsidR="008550BD">
              <w:rPr>
                <w:rFonts w:cs="Calibri"/>
                <w:sz w:val="18"/>
                <w:szCs w:val="20"/>
              </w:rPr>
              <w:t xml:space="preserve"> generators</w:t>
            </w:r>
            <w:r w:rsidRPr="006647B1">
              <w:rPr>
                <w:rFonts w:cs="Calibri"/>
                <w:sz w:val="18"/>
                <w:szCs w:val="20"/>
              </w:rPr>
              <w:t xml:space="preserve"> is</w:t>
            </w:r>
            <w:r>
              <w:rPr>
                <w:rFonts w:cs="Calibri"/>
                <w:sz w:val="18"/>
                <w:szCs w:val="20"/>
              </w:rPr>
              <w:t xml:space="preserve"> </w:t>
            </w:r>
            <w:r w:rsidRPr="006647B1">
              <w:rPr>
                <w:rFonts w:cs="Calibri"/>
                <w:sz w:val="18"/>
                <w:szCs w:val="20"/>
              </w:rPr>
              <w:t>likely to result in the</w:t>
            </w:r>
            <w:r w:rsidR="00CB5CF6">
              <w:rPr>
                <w:rFonts w:cs="Calibri"/>
                <w:sz w:val="18"/>
                <w:szCs w:val="20"/>
              </w:rPr>
              <w:t>m</w:t>
            </w:r>
            <w:r w:rsidRPr="006647B1">
              <w:rPr>
                <w:rFonts w:cs="Calibri"/>
                <w:sz w:val="18"/>
                <w:szCs w:val="20"/>
              </w:rPr>
              <w:t xml:space="preserve"> receiving, in any year, an ionising radiation dose three tenths that of any statutory radiation dose </w:t>
            </w:r>
            <w:r w:rsidRPr="002C069A">
              <w:rPr>
                <w:rFonts w:cs="Calibri"/>
                <w:sz w:val="18"/>
                <w:szCs w:val="20"/>
              </w:rPr>
              <w:t xml:space="preserve">limit (6 </w:t>
            </w:r>
            <w:proofErr w:type="spellStart"/>
            <w:r w:rsidRPr="002C069A">
              <w:rPr>
                <w:rFonts w:cs="Calibri"/>
                <w:sz w:val="18"/>
                <w:szCs w:val="20"/>
              </w:rPr>
              <w:t>mSv</w:t>
            </w:r>
            <w:proofErr w:type="spellEnd"/>
            <w:r w:rsidRPr="002C069A">
              <w:rPr>
                <w:rFonts w:cs="Calibri"/>
                <w:sz w:val="18"/>
                <w:szCs w:val="20"/>
              </w:rPr>
              <w:t xml:space="preserve"> whole body dose, 150 </w:t>
            </w:r>
            <w:proofErr w:type="spellStart"/>
            <w:r w:rsidRPr="002C069A">
              <w:rPr>
                <w:rFonts w:cs="Calibri"/>
                <w:sz w:val="18"/>
                <w:szCs w:val="20"/>
              </w:rPr>
              <w:t>mSv</w:t>
            </w:r>
            <w:proofErr w:type="spellEnd"/>
            <w:r w:rsidRPr="002C069A">
              <w:rPr>
                <w:rFonts w:cs="Calibri"/>
                <w:sz w:val="18"/>
                <w:szCs w:val="20"/>
              </w:rPr>
              <w:t xml:space="preserve"> hand/skin dose).</w:t>
            </w:r>
          </w:p>
          <w:p w14:paraId="711BEB4B" w14:textId="77777777" w:rsidR="00712CC5" w:rsidRDefault="00712CC5" w:rsidP="00B961C9">
            <w:pPr>
              <w:spacing w:before="60" w:after="60" w:line="240" w:lineRule="auto"/>
              <w:rPr>
                <w:rFonts w:cs="Calibri"/>
                <w:sz w:val="18"/>
                <w:szCs w:val="20"/>
              </w:rPr>
            </w:pPr>
          </w:p>
          <w:p w14:paraId="66965B5A" w14:textId="19AFEDA1" w:rsidR="00EB37DE" w:rsidRPr="006647B1" w:rsidRDefault="00CD6D56" w:rsidP="00B961C9">
            <w:pPr>
              <w:spacing w:before="60" w:after="60" w:line="240" w:lineRule="auto"/>
              <w:rPr>
                <w:rFonts w:cs="Calibri"/>
                <w:sz w:val="18"/>
                <w:szCs w:val="20"/>
              </w:rPr>
            </w:pPr>
            <w:r>
              <w:rPr>
                <w:rFonts w:cs="Calibri"/>
                <w:sz w:val="18"/>
                <w:szCs w:val="20"/>
              </w:rPr>
              <w:t>Any intention to classify an individual must be first confirmed by the University Radiation Protection Unit.</w:t>
            </w:r>
            <w:r w:rsidR="00CB5CF6">
              <w:rPr>
                <w:rFonts w:cs="Calibri"/>
                <w:sz w:val="18"/>
                <w:szCs w:val="20"/>
              </w:rPr>
              <w:t xml:space="preserve"> </w:t>
            </w:r>
            <w:r w:rsidR="00CB5CF6" w:rsidRPr="002C069A">
              <w:rPr>
                <w:rFonts w:cs="Calibri"/>
                <w:i/>
                <w:sz w:val="18"/>
                <w:szCs w:val="20"/>
              </w:rPr>
              <w:t>A medical assessment by an HSE Approved Physician is required prior to commencing classified radiation work.</w:t>
            </w:r>
            <w:r w:rsidR="00CB5CF6">
              <w:rPr>
                <w:rFonts w:cs="Calibri"/>
                <w:i/>
                <w:sz w:val="18"/>
                <w:szCs w:val="20"/>
              </w:rPr>
              <w:t xml:space="preserve"> </w:t>
            </w:r>
            <w:r w:rsidR="00CB5CF6">
              <w:rPr>
                <w:rFonts w:cs="Calibri"/>
                <w:sz w:val="18"/>
                <w:szCs w:val="20"/>
              </w:rPr>
              <w:t xml:space="preserve">Contact the Radiation Protection Unit for more information, </w:t>
            </w:r>
            <w:hyperlink r:id="rId15" w:history="1">
              <w:r w:rsidR="00CB5CF6" w:rsidRPr="005566CA">
                <w:rPr>
                  <w:rStyle w:val="Hyperlink"/>
                  <w:rFonts w:cs="Calibri"/>
                  <w:sz w:val="18"/>
                  <w:szCs w:val="20"/>
                </w:rPr>
                <w:t>https://www.ed.ac.uk/health-safety/radiation-protection/about/contacts</w:t>
              </w:r>
            </w:hyperlink>
          </w:p>
        </w:tc>
        <w:tc>
          <w:tcPr>
            <w:tcW w:w="1560" w:type="dxa"/>
          </w:tcPr>
          <w:p w14:paraId="313B68FB" w14:textId="77777777" w:rsidR="00EB37DE" w:rsidRDefault="00EB37DE" w:rsidP="00B961C9">
            <w:pPr>
              <w:spacing w:before="60" w:after="60" w:line="240" w:lineRule="auto"/>
              <w:rPr>
                <w:rFonts w:cs="Calibri"/>
                <w:sz w:val="18"/>
                <w:szCs w:val="20"/>
              </w:rPr>
            </w:pPr>
          </w:p>
        </w:tc>
      </w:tr>
      <w:tr w:rsidR="00EF5450" w:rsidRPr="002A02E2" w14:paraId="73199BDA" w14:textId="77777777" w:rsidTr="00CB5CF6">
        <w:trPr>
          <w:cantSplit/>
        </w:trPr>
        <w:tc>
          <w:tcPr>
            <w:tcW w:w="2552" w:type="dxa"/>
            <w:tcBorders>
              <w:right w:val="single" w:sz="4" w:space="0" w:color="auto"/>
            </w:tcBorders>
            <w:shd w:val="clear" w:color="auto" w:fill="auto"/>
          </w:tcPr>
          <w:p w14:paraId="7B873A98" w14:textId="17E515E5" w:rsidR="00EF5450" w:rsidRPr="00EE4A95" w:rsidRDefault="00EF5450"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sidRPr="00EE4A95">
              <w:rPr>
                <w:rFonts w:cs="Calibri"/>
                <w:sz w:val="18"/>
                <w:szCs w:val="20"/>
              </w:rPr>
              <w:t xml:space="preserve">Work or contact with </w:t>
            </w:r>
            <w:r w:rsidRPr="00EE4A95">
              <w:rPr>
                <w:rFonts w:cs="Calibri"/>
                <w:b/>
                <w:i/>
                <w:sz w:val="18"/>
                <w:szCs w:val="20"/>
              </w:rPr>
              <w:t>non-ionising</w:t>
            </w:r>
            <w:r w:rsidRPr="00EE4A95">
              <w:rPr>
                <w:rFonts w:cs="Calibri"/>
                <w:sz w:val="18"/>
                <w:szCs w:val="20"/>
              </w:rPr>
              <w:t xml:space="preserve"> radiation sources such as Lasers </w:t>
            </w:r>
            <w:r w:rsidR="00CD6D56" w:rsidRPr="00EE4A95">
              <w:rPr>
                <w:rFonts w:cs="Calibri"/>
                <w:sz w:val="18"/>
                <w:szCs w:val="20"/>
              </w:rPr>
              <w:t>and hazardous EMF sources.</w:t>
            </w:r>
          </w:p>
        </w:tc>
        <w:tc>
          <w:tcPr>
            <w:tcW w:w="1417" w:type="dxa"/>
            <w:tcBorders>
              <w:left w:val="single" w:sz="4" w:space="0" w:color="auto"/>
            </w:tcBorders>
          </w:tcPr>
          <w:p w14:paraId="0DDFD873" w14:textId="4F2237B3" w:rsidR="00EF5450" w:rsidRPr="00EE4A95" w:rsidRDefault="00CD6D56" w:rsidP="00B961C9">
            <w:pPr>
              <w:spacing w:before="60" w:after="60" w:line="240" w:lineRule="auto"/>
              <w:rPr>
                <w:rFonts w:cs="Calibri"/>
                <w:sz w:val="18"/>
                <w:szCs w:val="20"/>
              </w:rPr>
            </w:pPr>
            <w:r w:rsidRPr="00EE4A95">
              <w:rPr>
                <w:rFonts w:cs="Calibri"/>
                <w:sz w:val="18"/>
                <w:szCs w:val="20"/>
              </w:rPr>
              <w:t xml:space="preserve">Yes </w:t>
            </w:r>
            <w:r w:rsidRPr="00EE4A95">
              <w:rPr>
                <w:rFonts w:cs="Calibri"/>
                <w:sz w:val="18"/>
                <w:szCs w:val="20"/>
              </w:rPr>
              <w:fldChar w:fldCharType="begin">
                <w:ffData>
                  <w:name w:val="Check7"/>
                  <w:enabled/>
                  <w:calcOnExit w:val="0"/>
                  <w:checkBox>
                    <w:sizeAuto/>
                    <w:default w:val="0"/>
                  </w:checkBox>
                </w:ffData>
              </w:fldChar>
            </w:r>
            <w:r w:rsidRPr="00EE4A95">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EE4A95">
              <w:rPr>
                <w:rFonts w:cs="Calibri"/>
                <w:sz w:val="18"/>
                <w:szCs w:val="20"/>
              </w:rPr>
              <w:fldChar w:fldCharType="end"/>
            </w:r>
            <w:r w:rsidRPr="00EE4A95">
              <w:rPr>
                <w:rFonts w:cs="Calibri"/>
                <w:sz w:val="18"/>
                <w:szCs w:val="20"/>
              </w:rPr>
              <w:t xml:space="preserve"> No</w:t>
            </w:r>
            <w:r w:rsidRPr="00EE4A95">
              <w:rPr>
                <w:rFonts w:cs="Calibri"/>
                <w:sz w:val="18"/>
                <w:szCs w:val="20"/>
              </w:rPr>
              <w:fldChar w:fldCharType="begin">
                <w:ffData>
                  <w:name w:val="Check8"/>
                  <w:enabled/>
                  <w:calcOnExit w:val="0"/>
                  <w:checkBox>
                    <w:sizeAuto/>
                    <w:default w:val="0"/>
                  </w:checkBox>
                </w:ffData>
              </w:fldChar>
            </w:r>
            <w:r w:rsidRPr="00EE4A95">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EE4A95">
              <w:rPr>
                <w:rFonts w:cs="Calibri"/>
                <w:sz w:val="18"/>
                <w:szCs w:val="20"/>
              </w:rPr>
              <w:fldChar w:fldCharType="end"/>
            </w:r>
          </w:p>
        </w:tc>
        <w:tc>
          <w:tcPr>
            <w:tcW w:w="9497" w:type="dxa"/>
            <w:shd w:val="clear" w:color="auto" w:fill="auto"/>
          </w:tcPr>
          <w:p w14:paraId="60EFD60C" w14:textId="3F9C9214" w:rsidR="008B5A43" w:rsidRPr="00EE4A95" w:rsidRDefault="00CD6D56" w:rsidP="00B961C9">
            <w:pPr>
              <w:spacing w:before="60" w:after="60" w:line="240" w:lineRule="auto"/>
              <w:rPr>
                <w:rFonts w:cs="Calibri"/>
                <w:sz w:val="18"/>
                <w:szCs w:val="20"/>
              </w:rPr>
            </w:pPr>
            <w:r w:rsidRPr="00EE4A95">
              <w:rPr>
                <w:rFonts w:cs="Calibri"/>
                <w:sz w:val="18"/>
                <w:szCs w:val="20"/>
              </w:rPr>
              <w:t xml:space="preserve">In some cases, Electromagnetic Field (EMF) Sources and </w:t>
            </w:r>
            <w:r w:rsidR="00B961C9" w:rsidRPr="00EE4A95">
              <w:rPr>
                <w:rFonts w:cs="Calibri"/>
                <w:sz w:val="18"/>
                <w:szCs w:val="20"/>
              </w:rPr>
              <w:t xml:space="preserve">Lasers </w:t>
            </w:r>
            <w:r w:rsidR="008B5A43" w:rsidRPr="00EE4A95">
              <w:rPr>
                <w:rFonts w:cs="Calibri"/>
                <w:sz w:val="18"/>
                <w:szCs w:val="20"/>
              </w:rPr>
              <w:t xml:space="preserve">can present an additional risk to certain persons. The University must try to identify those ‘employees at particular risk’ so that their work can be risk assessed appropriately. Employees at particular risk from hazardous EMF sources might be those with passive or active medical implants and those with body worn medical devices such as insulin pumps. Employees at particular risk from </w:t>
            </w:r>
            <w:r w:rsidR="00712CC5" w:rsidRPr="00EE4A95">
              <w:rPr>
                <w:rFonts w:cs="Calibri"/>
                <w:sz w:val="18"/>
                <w:szCs w:val="20"/>
              </w:rPr>
              <w:t xml:space="preserve">hazardous </w:t>
            </w:r>
            <w:r w:rsidR="008B5A43" w:rsidRPr="00EE4A95">
              <w:rPr>
                <w:rFonts w:cs="Calibri"/>
                <w:sz w:val="18"/>
                <w:szCs w:val="20"/>
              </w:rPr>
              <w:t>Laser sources might be those with an enhanced skin photosensitivity.</w:t>
            </w:r>
          </w:p>
          <w:p w14:paraId="749CD2C4" w14:textId="77777777" w:rsidR="00712CC5" w:rsidRPr="00EE4A95" w:rsidRDefault="00712CC5" w:rsidP="00B961C9">
            <w:pPr>
              <w:spacing w:before="60" w:after="60" w:line="240" w:lineRule="auto"/>
              <w:rPr>
                <w:rFonts w:cs="Calibri"/>
                <w:sz w:val="18"/>
                <w:szCs w:val="20"/>
              </w:rPr>
            </w:pPr>
          </w:p>
          <w:p w14:paraId="384A35B5" w14:textId="77777777" w:rsidR="00712CC5" w:rsidRPr="00EE4A95" w:rsidRDefault="008B5A43" w:rsidP="00B961C9">
            <w:pPr>
              <w:spacing w:before="60" w:after="60" w:line="240" w:lineRule="auto"/>
              <w:rPr>
                <w:rFonts w:cs="Calibri"/>
                <w:sz w:val="18"/>
                <w:szCs w:val="20"/>
              </w:rPr>
            </w:pPr>
            <w:r w:rsidRPr="00EE4A95">
              <w:rPr>
                <w:rFonts w:cs="Calibri"/>
                <w:sz w:val="18"/>
                <w:szCs w:val="20"/>
              </w:rPr>
              <w:t xml:space="preserve">Contact your Departmental EMF or Laser Supervisor if you think </w:t>
            </w:r>
            <w:r w:rsidR="00712CC5" w:rsidRPr="00EE4A95">
              <w:rPr>
                <w:rFonts w:cs="Calibri"/>
                <w:sz w:val="18"/>
                <w:szCs w:val="20"/>
              </w:rPr>
              <w:t>the individual may need to be risk assessed as an employee at particular risk. A list of Departmental EMF and Laser Supervisors can be found here:</w:t>
            </w:r>
          </w:p>
          <w:p w14:paraId="5F7F77BC" w14:textId="4D65B00C" w:rsidR="00EF5450" w:rsidRPr="00EE4A95" w:rsidRDefault="00164507" w:rsidP="00B961C9">
            <w:pPr>
              <w:spacing w:before="60" w:after="60" w:line="240" w:lineRule="auto"/>
              <w:rPr>
                <w:rFonts w:cs="Calibri"/>
                <w:sz w:val="18"/>
                <w:szCs w:val="20"/>
              </w:rPr>
            </w:pPr>
            <w:hyperlink r:id="rId16" w:history="1">
              <w:r w:rsidR="00712CC5" w:rsidRPr="00EE4A95">
                <w:rPr>
                  <w:rStyle w:val="Hyperlink"/>
                  <w:color w:val="auto"/>
                  <w:sz w:val="18"/>
                </w:rPr>
                <w:t>https://www.ed.ac.uk/health-safety/radiation-protection/supervisors</w:t>
              </w:r>
            </w:hyperlink>
          </w:p>
        </w:tc>
        <w:tc>
          <w:tcPr>
            <w:tcW w:w="1560" w:type="dxa"/>
          </w:tcPr>
          <w:p w14:paraId="38215DD6" w14:textId="77777777" w:rsidR="00EF5450" w:rsidRDefault="00EF5450" w:rsidP="00B961C9">
            <w:pPr>
              <w:spacing w:before="60" w:after="60" w:line="240" w:lineRule="auto"/>
              <w:rPr>
                <w:rFonts w:cs="Calibri"/>
                <w:sz w:val="18"/>
                <w:szCs w:val="20"/>
              </w:rPr>
            </w:pPr>
          </w:p>
        </w:tc>
      </w:tr>
      <w:tr w:rsidR="005F1CBA" w:rsidRPr="002A02E2" w14:paraId="6A75DB1B" w14:textId="77777777" w:rsidTr="00CB5CF6">
        <w:trPr>
          <w:cantSplit/>
        </w:trPr>
        <w:tc>
          <w:tcPr>
            <w:tcW w:w="2552" w:type="dxa"/>
            <w:tcBorders>
              <w:right w:val="single" w:sz="4" w:space="0" w:color="auto"/>
            </w:tcBorders>
            <w:shd w:val="clear" w:color="auto" w:fill="auto"/>
          </w:tcPr>
          <w:p w14:paraId="164B716A" w14:textId="77777777" w:rsidR="005F1CBA" w:rsidRPr="00C50E5F" w:rsidRDefault="005F1CBA"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sidRPr="004123E3">
              <w:rPr>
                <w:rFonts w:cs="Calibri"/>
                <w:sz w:val="18"/>
                <w:szCs w:val="20"/>
              </w:rPr>
              <w:t>Toxic metals e.g. lead, mercury, thallium</w:t>
            </w:r>
            <w:r>
              <w:rPr>
                <w:rFonts w:cs="Calibri"/>
                <w:sz w:val="18"/>
                <w:szCs w:val="20"/>
              </w:rPr>
              <w:t xml:space="preserve"> - </w:t>
            </w:r>
          </w:p>
          <w:p w14:paraId="674AA89A" w14:textId="77777777" w:rsidR="005F1CBA" w:rsidRDefault="005F1CBA" w:rsidP="00B961C9">
            <w:pPr>
              <w:pStyle w:val="ListParagraph"/>
              <w:tabs>
                <w:tab w:val="left" w:pos="318"/>
                <w:tab w:val="right" w:pos="5652"/>
              </w:tabs>
              <w:spacing w:before="60" w:after="60" w:line="240" w:lineRule="auto"/>
              <w:ind w:left="176"/>
              <w:rPr>
                <w:rFonts w:cs="Calibri"/>
                <w:sz w:val="18"/>
                <w:szCs w:val="20"/>
              </w:rPr>
            </w:pPr>
          </w:p>
        </w:tc>
        <w:tc>
          <w:tcPr>
            <w:tcW w:w="1417" w:type="dxa"/>
            <w:tcBorders>
              <w:left w:val="single" w:sz="4" w:space="0" w:color="auto"/>
            </w:tcBorders>
          </w:tcPr>
          <w:p w14:paraId="36330585"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5E679688" w14:textId="77777777" w:rsidR="005F1CBA" w:rsidRDefault="005F1CBA" w:rsidP="00B961C9">
            <w:pPr>
              <w:spacing w:before="60" w:after="60" w:line="240" w:lineRule="auto"/>
              <w:rPr>
                <w:rFonts w:cs="Calibri"/>
                <w:sz w:val="18"/>
                <w:szCs w:val="20"/>
              </w:rPr>
            </w:pPr>
            <w:r>
              <w:rPr>
                <w:rFonts w:asciiTheme="minorHAnsi" w:hAnsiTheme="minorHAnsi" w:cstheme="minorHAnsi"/>
                <w:sz w:val="18"/>
                <w:szCs w:val="20"/>
              </w:rPr>
              <w:t>A</w:t>
            </w:r>
            <w:r w:rsidRPr="006647B1">
              <w:rPr>
                <w:rFonts w:asciiTheme="minorHAnsi" w:hAnsiTheme="minorHAnsi" w:cstheme="minorHAnsi"/>
                <w:sz w:val="18"/>
                <w:szCs w:val="20"/>
              </w:rPr>
              <w:t>s identified through risk assessment</w:t>
            </w:r>
            <w:r>
              <w:rPr>
                <w:rFonts w:asciiTheme="minorHAnsi" w:hAnsiTheme="minorHAnsi" w:cstheme="minorHAnsi"/>
                <w:sz w:val="18"/>
                <w:szCs w:val="20"/>
              </w:rPr>
              <w:t xml:space="preserve">, there may requirement for HSE approved Physician assessment. See </w:t>
            </w:r>
            <w:hyperlink r:id="rId17" w:history="1">
              <w:r w:rsidRPr="003F44BB">
                <w:rPr>
                  <w:rStyle w:val="Hyperlink"/>
                  <w:rFonts w:asciiTheme="minorHAnsi" w:hAnsiTheme="minorHAnsi" w:cstheme="minorHAnsi"/>
                  <w:sz w:val="18"/>
                  <w:szCs w:val="20"/>
                </w:rPr>
                <w:t>https://www.edweb.ed.ac.uk/health-safety/occupational-health/managers/health-surveillance</w:t>
              </w:r>
            </w:hyperlink>
            <w:r>
              <w:rPr>
                <w:rFonts w:asciiTheme="minorHAnsi" w:hAnsiTheme="minorHAnsi" w:cstheme="minorHAnsi"/>
                <w:sz w:val="18"/>
                <w:szCs w:val="20"/>
              </w:rPr>
              <w:t xml:space="preserve"> for more information on health surveillance</w:t>
            </w:r>
          </w:p>
        </w:tc>
        <w:tc>
          <w:tcPr>
            <w:tcW w:w="1560" w:type="dxa"/>
          </w:tcPr>
          <w:p w14:paraId="4706C9BB" w14:textId="77777777" w:rsidR="005F1CBA" w:rsidRDefault="005F1CBA" w:rsidP="00B961C9">
            <w:pPr>
              <w:spacing w:before="60" w:after="60" w:line="240" w:lineRule="auto"/>
              <w:rPr>
                <w:rFonts w:cs="Calibri"/>
                <w:sz w:val="18"/>
                <w:szCs w:val="20"/>
              </w:rPr>
            </w:pPr>
          </w:p>
        </w:tc>
      </w:tr>
      <w:tr w:rsidR="005F1CBA" w:rsidRPr="002A02E2" w14:paraId="49915140" w14:textId="77777777" w:rsidTr="00CB5CF6">
        <w:trPr>
          <w:cantSplit/>
        </w:trPr>
        <w:tc>
          <w:tcPr>
            <w:tcW w:w="2552" w:type="dxa"/>
            <w:tcBorders>
              <w:right w:val="single" w:sz="4" w:space="0" w:color="auto"/>
            </w:tcBorders>
            <w:shd w:val="clear" w:color="auto" w:fill="auto"/>
          </w:tcPr>
          <w:p w14:paraId="46638249" w14:textId="77777777" w:rsidR="005F1CBA" w:rsidRPr="005F1CBA" w:rsidRDefault="005F1CBA" w:rsidP="00B961C9">
            <w:pPr>
              <w:pStyle w:val="ListParagraph"/>
              <w:numPr>
                <w:ilvl w:val="0"/>
                <w:numId w:val="2"/>
              </w:numPr>
              <w:tabs>
                <w:tab w:val="left" w:pos="318"/>
                <w:tab w:val="left" w:pos="582"/>
                <w:tab w:val="right" w:pos="5652"/>
              </w:tabs>
              <w:spacing w:before="60" w:after="60" w:line="240" w:lineRule="auto"/>
              <w:ind w:left="176" w:hanging="176"/>
              <w:rPr>
                <w:rFonts w:cs="Calibri"/>
                <w:sz w:val="18"/>
                <w:szCs w:val="20"/>
              </w:rPr>
            </w:pPr>
            <w:r w:rsidRPr="004123E3">
              <w:rPr>
                <w:rFonts w:cs="Calibri"/>
                <w:sz w:val="18"/>
                <w:szCs w:val="20"/>
              </w:rPr>
              <w:t>Night work (between 2300 and 0600hrs inclusive)</w:t>
            </w:r>
          </w:p>
        </w:tc>
        <w:tc>
          <w:tcPr>
            <w:tcW w:w="1417" w:type="dxa"/>
            <w:tcBorders>
              <w:left w:val="single" w:sz="4" w:space="0" w:color="auto"/>
            </w:tcBorders>
          </w:tcPr>
          <w:p w14:paraId="7289FE70"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32F2F950" w14:textId="77777777" w:rsidR="005F1CBA" w:rsidRDefault="005F1CBA" w:rsidP="00B961C9">
            <w:pPr>
              <w:spacing w:before="60" w:after="60" w:line="240" w:lineRule="auto"/>
              <w:rPr>
                <w:rFonts w:asciiTheme="minorHAnsi" w:hAnsiTheme="minorHAnsi" w:cstheme="minorHAnsi"/>
                <w:sz w:val="18"/>
                <w:szCs w:val="20"/>
              </w:rPr>
            </w:pPr>
            <w:r w:rsidRPr="003D411A">
              <w:rPr>
                <w:rFonts w:cs="Calibri"/>
                <w:sz w:val="18"/>
                <w:szCs w:val="20"/>
              </w:rPr>
              <w:t xml:space="preserve">Regular </w:t>
            </w:r>
            <w:r>
              <w:rPr>
                <w:rFonts w:cs="Calibri"/>
                <w:sz w:val="18"/>
                <w:szCs w:val="20"/>
              </w:rPr>
              <w:t xml:space="preserve">work of at least 3 hours during the night period </w:t>
            </w:r>
            <w:r w:rsidRPr="003D411A">
              <w:rPr>
                <w:rFonts w:cs="Calibri"/>
                <w:sz w:val="18"/>
                <w:szCs w:val="20"/>
              </w:rPr>
              <w:t xml:space="preserve">23:00hrs and 06:00hrs only </w:t>
            </w:r>
            <w:r>
              <w:rPr>
                <w:rFonts w:cs="Calibri"/>
                <w:sz w:val="18"/>
                <w:szCs w:val="20"/>
              </w:rPr>
              <w:t xml:space="preserve">- </w:t>
            </w:r>
            <w:r w:rsidRPr="003D411A">
              <w:rPr>
                <w:rFonts w:cs="Calibri"/>
                <w:b/>
                <w:sz w:val="18"/>
                <w:szCs w:val="20"/>
                <w:u w:val="single"/>
              </w:rPr>
              <w:t>not</w:t>
            </w:r>
            <w:r w:rsidRPr="003D411A">
              <w:rPr>
                <w:rFonts w:cs="Calibri"/>
                <w:sz w:val="18"/>
                <w:szCs w:val="20"/>
              </w:rPr>
              <w:t xml:space="preserve"> working late in the evening</w:t>
            </w:r>
            <w:r>
              <w:rPr>
                <w:rFonts w:cs="Calibri"/>
                <w:sz w:val="18"/>
                <w:szCs w:val="20"/>
              </w:rPr>
              <w:t xml:space="preserve">. </w:t>
            </w:r>
            <w:r w:rsidR="00AA7D1C">
              <w:rPr>
                <w:rFonts w:asciiTheme="minorHAnsi" w:hAnsiTheme="minorHAnsi" w:cstheme="minorHAnsi"/>
                <w:sz w:val="18"/>
                <w:szCs w:val="20"/>
              </w:rPr>
              <w:t xml:space="preserve">For more information on health assessment  </w:t>
            </w:r>
            <w:r>
              <w:rPr>
                <w:rFonts w:asciiTheme="minorHAnsi" w:hAnsiTheme="minorHAnsi" w:cstheme="minorHAnsi"/>
                <w:sz w:val="18"/>
                <w:szCs w:val="20"/>
              </w:rPr>
              <w:t xml:space="preserve">See </w:t>
            </w:r>
            <w:hyperlink r:id="rId18" w:history="1">
              <w:r w:rsidRPr="003F44BB">
                <w:rPr>
                  <w:rStyle w:val="Hyperlink"/>
                  <w:rFonts w:asciiTheme="minorHAnsi" w:hAnsiTheme="minorHAnsi" w:cstheme="minorHAnsi"/>
                  <w:sz w:val="18"/>
                  <w:szCs w:val="20"/>
                </w:rPr>
                <w:t>https://www.edweb.ed.ac.uk/health-safety/occupational-health/managers/health-surveillance</w:t>
              </w:r>
            </w:hyperlink>
            <w:r>
              <w:rPr>
                <w:rFonts w:asciiTheme="minorHAnsi" w:hAnsiTheme="minorHAnsi" w:cstheme="minorHAnsi"/>
                <w:sz w:val="18"/>
                <w:szCs w:val="20"/>
              </w:rPr>
              <w:t xml:space="preserve"> </w:t>
            </w:r>
          </w:p>
        </w:tc>
        <w:tc>
          <w:tcPr>
            <w:tcW w:w="1560" w:type="dxa"/>
          </w:tcPr>
          <w:p w14:paraId="2E5337D2" w14:textId="77777777" w:rsidR="005F1CBA" w:rsidRDefault="005F1CBA" w:rsidP="00B961C9">
            <w:pPr>
              <w:spacing w:before="60" w:after="60" w:line="240" w:lineRule="auto"/>
              <w:rPr>
                <w:rFonts w:cs="Calibri"/>
                <w:sz w:val="18"/>
                <w:szCs w:val="20"/>
              </w:rPr>
            </w:pPr>
          </w:p>
        </w:tc>
      </w:tr>
      <w:tr w:rsidR="005F1CBA" w:rsidRPr="002A02E2" w14:paraId="3948A8F7" w14:textId="77777777" w:rsidTr="00CB5CF6">
        <w:trPr>
          <w:cantSplit/>
        </w:trPr>
        <w:tc>
          <w:tcPr>
            <w:tcW w:w="2552" w:type="dxa"/>
            <w:tcBorders>
              <w:right w:val="single" w:sz="4" w:space="0" w:color="auto"/>
            </w:tcBorders>
            <w:shd w:val="clear" w:color="auto" w:fill="auto"/>
          </w:tcPr>
          <w:p w14:paraId="66E6D58C" w14:textId="77777777" w:rsidR="005F1CBA" w:rsidRPr="004123E3" w:rsidRDefault="005F1CBA" w:rsidP="00B961C9">
            <w:pPr>
              <w:pStyle w:val="ListParagraph"/>
              <w:numPr>
                <w:ilvl w:val="0"/>
                <w:numId w:val="2"/>
              </w:numPr>
              <w:tabs>
                <w:tab w:val="left" w:pos="318"/>
                <w:tab w:val="left" w:pos="582"/>
                <w:tab w:val="right" w:pos="5652"/>
              </w:tabs>
              <w:spacing w:before="60" w:after="60" w:line="240" w:lineRule="auto"/>
              <w:ind w:left="176" w:hanging="176"/>
              <w:rPr>
                <w:rFonts w:cs="Calibri"/>
                <w:sz w:val="18"/>
                <w:szCs w:val="20"/>
              </w:rPr>
            </w:pPr>
            <w:r>
              <w:rPr>
                <w:rFonts w:cs="Calibri"/>
                <w:sz w:val="18"/>
                <w:szCs w:val="20"/>
              </w:rPr>
              <w:t>International travel on behalf of the University and/or high hazard fieldwork</w:t>
            </w:r>
          </w:p>
        </w:tc>
        <w:tc>
          <w:tcPr>
            <w:tcW w:w="1417" w:type="dxa"/>
            <w:tcBorders>
              <w:left w:val="single" w:sz="4" w:space="0" w:color="auto"/>
            </w:tcBorders>
          </w:tcPr>
          <w:p w14:paraId="409B38C5"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1DDDC066" w14:textId="77777777" w:rsidR="005F1CBA" w:rsidRDefault="005F1CBA" w:rsidP="00B961C9">
            <w:pPr>
              <w:spacing w:before="60" w:after="60" w:line="240" w:lineRule="auto"/>
              <w:rPr>
                <w:rFonts w:cs="Calibri"/>
                <w:sz w:val="18"/>
                <w:szCs w:val="20"/>
              </w:rPr>
            </w:pPr>
            <w:r>
              <w:rPr>
                <w:rFonts w:cs="Calibri"/>
                <w:sz w:val="18"/>
                <w:szCs w:val="20"/>
              </w:rPr>
              <w:t>Please see</w:t>
            </w:r>
            <w:r>
              <w:t xml:space="preserve"> </w:t>
            </w:r>
            <w:hyperlink r:id="rId19" w:history="1">
              <w:r w:rsidRPr="003F44BB">
                <w:rPr>
                  <w:rStyle w:val="Hyperlink"/>
                  <w:rFonts w:cs="Calibri"/>
                  <w:sz w:val="18"/>
                  <w:szCs w:val="20"/>
                </w:rPr>
                <w:t>https://www.ed.ac.uk/staff/business-travel</w:t>
              </w:r>
            </w:hyperlink>
            <w:r>
              <w:rPr>
                <w:rFonts w:cs="Calibri"/>
                <w:sz w:val="18"/>
                <w:szCs w:val="20"/>
              </w:rPr>
              <w:t xml:space="preserve"> and </w:t>
            </w:r>
            <w:hyperlink r:id="rId20" w:history="1">
              <w:r w:rsidRPr="003F44BB">
                <w:rPr>
                  <w:rStyle w:val="Hyperlink"/>
                  <w:rFonts w:cs="Calibri"/>
                  <w:sz w:val="18"/>
                  <w:szCs w:val="20"/>
                </w:rPr>
                <w:t>https://www.ed.ac.uk/health-safety/occupational-health/managers/travel-health-for-managers</w:t>
              </w:r>
            </w:hyperlink>
            <w:r>
              <w:rPr>
                <w:rFonts w:cs="Calibri"/>
                <w:sz w:val="18"/>
                <w:szCs w:val="20"/>
              </w:rPr>
              <w:t xml:space="preserve"> for further guidance on international travel</w:t>
            </w:r>
          </w:p>
          <w:p w14:paraId="5F2AD2EF" w14:textId="77777777" w:rsidR="005F1CBA" w:rsidRPr="003D411A" w:rsidRDefault="005F1CBA" w:rsidP="00B961C9">
            <w:pPr>
              <w:spacing w:before="60" w:after="60" w:line="240" w:lineRule="auto"/>
              <w:rPr>
                <w:rFonts w:cs="Calibri"/>
                <w:sz w:val="18"/>
                <w:szCs w:val="20"/>
              </w:rPr>
            </w:pPr>
          </w:p>
        </w:tc>
        <w:tc>
          <w:tcPr>
            <w:tcW w:w="1560" w:type="dxa"/>
          </w:tcPr>
          <w:p w14:paraId="08EAF86A" w14:textId="77777777" w:rsidR="005F1CBA" w:rsidRDefault="005F1CBA" w:rsidP="00B961C9">
            <w:pPr>
              <w:spacing w:before="60" w:after="60" w:line="240" w:lineRule="auto"/>
              <w:rPr>
                <w:rFonts w:cs="Calibri"/>
                <w:sz w:val="18"/>
                <w:szCs w:val="20"/>
              </w:rPr>
            </w:pPr>
          </w:p>
        </w:tc>
      </w:tr>
      <w:tr w:rsidR="005F1CBA" w:rsidRPr="002A02E2" w14:paraId="0FEE9493" w14:textId="77777777" w:rsidTr="00CB5CF6">
        <w:trPr>
          <w:cantSplit/>
        </w:trPr>
        <w:tc>
          <w:tcPr>
            <w:tcW w:w="2552" w:type="dxa"/>
            <w:tcBorders>
              <w:bottom w:val="single" w:sz="4" w:space="0" w:color="auto"/>
              <w:right w:val="single" w:sz="4" w:space="0" w:color="auto"/>
            </w:tcBorders>
            <w:shd w:val="clear" w:color="auto" w:fill="auto"/>
          </w:tcPr>
          <w:p w14:paraId="3386D6E2" w14:textId="77777777" w:rsidR="005F1CBA" w:rsidRPr="005F1CBA" w:rsidRDefault="005F1CBA"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sidRPr="004123E3">
              <w:rPr>
                <w:rFonts w:cs="Calibri"/>
                <w:sz w:val="18"/>
                <w:szCs w:val="20"/>
              </w:rPr>
              <w:t xml:space="preserve">Respiratory/skin sensitisers e.g. solder flux, latex, isocyanates, </w:t>
            </w:r>
            <w:r>
              <w:rPr>
                <w:rFonts w:cs="Calibri"/>
                <w:sz w:val="18"/>
                <w:szCs w:val="20"/>
              </w:rPr>
              <w:t xml:space="preserve">wood dust, glues </w:t>
            </w:r>
            <w:r w:rsidRPr="004123E3">
              <w:rPr>
                <w:rFonts w:cs="Calibri"/>
                <w:sz w:val="18"/>
                <w:szCs w:val="20"/>
              </w:rPr>
              <w:t>and resins.</w:t>
            </w:r>
          </w:p>
        </w:tc>
        <w:tc>
          <w:tcPr>
            <w:tcW w:w="1417" w:type="dxa"/>
            <w:tcBorders>
              <w:left w:val="single" w:sz="4" w:space="0" w:color="auto"/>
            </w:tcBorders>
          </w:tcPr>
          <w:p w14:paraId="56EE7D0F"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164083F1" w14:textId="77777777" w:rsidR="005F1CBA" w:rsidRPr="00964B01" w:rsidRDefault="005F1CBA" w:rsidP="00B961C9">
            <w:pPr>
              <w:spacing w:before="60" w:after="60" w:line="240" w:lineRule="auto"/>
              <w:rPr>
                <w:rFonts w:asciiTheme="minorHAnsi" w:hAnsiTheme="minorHAnsi" w:cstheme="minorHAnsi"/>
                <w:b/>
                <w:i/>
                <w:sz w:val="18"/>
                <w:szCs w:val="20"/>
              </w:rPr>
            </w:pPr>
            <w:r>
              <w:rPr>
                <w:rFonts w:asciiTheme="minorHAnsi" w:hAnsiTheme="minorHAnsi" w:cstheme="minorHAnsi"/>
                <w:sz w:val="18"/>
                <w:szCs w:val="20"/>
              </w:rPr>
              <w:t xml:space="preserve">Guidance on sensitisers is available at </w:t>
            </w:r>
            <w:r w:rsidRPr="00964B01">
              <w:rPr>
                <w:rFonts w:asciiTheme="minorHAnsi" w:hAnsiTheme="minorHAnsi" w:cstheme="minorHAnsi"/>
                <w:sz w:val="18"/>
                <w:szCs w:val="20"/>
              </w:rPr>
              <w:t xml:space="preserve"> </w:t>
            </w:r>
            <w:hyperlink r:id="rId21" w:history="1">
              <w:r w:rsidR="00842A10" w:rsidRPr="005566CA">
                <w:rPr>
                  <w:rStyle w:val="Hyperlink"/>
                  <w:rFonts w:asciiTheme="minorHAnsi" w:hAnsiTheme="minorHAnsi" w:cstheme="minorHAnsi"/>
                  <w:sz w:val="18"/>
                  <w:szCs w:val="20"/>
                </w:rPr>
                <w:t>https://www.ed.ac.uk/health-safety/guidance/hazardous-substances/sensitisers</w:t>
              </w:r>
            </w:hyperlink>
            <w:r w:rsidR="00842A10">
              <w:rPr>
                <w:rFonts w:asciiTheme="minorHAnsi" w:hAnsiTheme="minorHAnsi" w:cstheme="minorHAnsi"/>
                <w:sz w:val="18"/>
                <w:szCs w:val="20"/>
              </w:rPr>
              <w:t xml:space="preserve"> </w:t>
            </w:r>
          </w:p>
        </w:tc>
        <w:tc>
          <w:tcPr>
            <w:tcW w:w="1560" w:type="dxa"/>
          </w:tcPr>
          <w:p w14:paraId="44125FB6" w14:textId="77777777" w:rsidR="005F1CBA" w:rsidRDefault="005F1CBA" w:rsidP="00B961C9">
            <w:pPr>
              <w:spacing w:before="60" w:after="60" w:line="240" w:lineRule="auto"/>
              <w:rPr>
                <w:rFonts w:asciiTheme="minorHAnsi" w:hAnsiTheme="minorHAnsi" w:cstheme="minorHAnsi"/>
                <w:sz w:val="18"/>
                <w:szCs w:val="20"/>
              </w:rPr>
            </w:pPr>
          </w:p>
        </w:tc>
      </w:tr>
      <w:tr w:rsidR="005F1CBA" w:rsidRPr="002A02E2" w14:paraId="3440E4AB" w14:textId="77777777" w:rsidTr="00CB5CF6">
        <w:tc>
          <w:tcPr>
            <w:tcW w:w="2552" w:type="dxa"/>
            <w:tcBorders>
              <w:bottom w:val="single" w:sz="4" w:space="0" w:color="auto"/>
              <w:right w:val="single" w:sz="4" w:space="0" w:color="auto"/>
            </w:tcBorders>
            <w:shd w:val="clear" w:color="auto" w:fill="auto"/>
          </w:tcPr>
          <w:p w14:paraId="4EC67B81" w14:textId="77777777" w:rsidR="005F1CBA" w:rsidRPr="00C50E5F" w:rsidRDefault="005F1CBA" w:rsidP="00B961C9">
            <w:pPr>
              <w:pStyle w:val="ListParagraph"/>
              <w:numPr>
                <w:ilvl w:val="0"/>
                <w:numId w:val="2"/>
              </w:numPr>
              <w:tabs>
                <w:tab w:val="left" w:pos="318"/>
                <w:tab w:val="right" w:pos="5652"/>
              </w:tabs>
              <w:spacing w:before="60" w:after="60" w:line="240" w:lineRule="auto"/>
              <w:ind w:left="176" w:hanging="176"/>
              <w:rPr>
                <w:rFonts w:cs="Calibri"/>
                <w:sz w:val="18"/>
                <w:szCs w:val="20"/>
              </w:rPr>
            </w:pPr>
            <w:r w:rsidRPr="004123E3">
              <w:rPr>
                <w:rFonts w:cs="Calibri"/>
                <w:sz w:val="18"/>
                <w:szCs w:val="20"/>
              </w:rPr>
              <w:t>Regular exposure to noise</w:t>
            </w:r>
            <w:r>
              <w:rPr>
                <w:rFonts w:cs="Calibri"/>
                <w:sz w:val="18"/>
                <w:szCs w:val="20"/>
              </w:rPr>
              <w:t xml:space="preserve"> </w:t>
            </w:r>
          </w:p>
          <w:p w14:paraId="2F7CF53B" w14:textId="77777777" w:rsidR="005F1CBA" w:rsidRPr="004123E3" w:rsidRDefault="005F1CBA" w:rsidP="00B961C9">
            <w:pPr>
              <w:pStyle w:val="ListParagraph"/>
              <w:tabs>
                <w:tab w:val="left" w:pos="318"/>
                <w:tab w:val="right" w:pos="5652"/>
              </w:tabs>
              <w:spacing w:before="60" w:after="60" w:line="240" w:lineRule="auto"/>
              <w:ind w:left="176"/>
              <w:rPr>
                <w:rFonts w:cs="Calibri"/>
                <w:sz w:val="18"/>
                <w:szCs w:val="20"/>
              </w:rPr>
            </w:pPr>
          </w:p>
        </w:tc>
        <w:tc>
          <w:tcPr>
            <w:tcW w:w="1417" w:type="dxa"/>
            <w:tcBorders>
              <w:left w:val="single" w:sz="4" w:space="0" w:color="auto"/>
            </w:tcBorders>
          </w:tcPr>
          <w:p w14:paraId="67D8AB74"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7E3664DE" w14:textId="518E1749" w:rsidR="005F1CBA" w:rsidRPr="004123E3" w:rsidRDefault="005F1CBA" w:rsidP="008550BD">
            <w:pPr>
              <w:spacing w:before="60" w:after="60" w:line="240" w:lineRule="auto"/>
              <w:rPr>
                <w:rFonts w:cs="Calibri"/>
                <w:b/>
                <w:sz w:val="18"/>
                <w:szCs w:val="20"/>
              </w:rPr>
            </w:pPr>
            <w:r>
              <w:rPr>
                <w:rFonts w:cs="Calibri"/>
                <w:sz w:val="18"/>
                <w:szCs w:val="20"/>
              </w:rPr>
              <w:t xml:space="preserve">At an action </w:t>
            </w:r>
            <w:r w:rsidR="008550BD">
              <w:rPr>
                <w:rFonts w:cs="Calibri"/>
                <w:sz w:val="18"/>
                <w:szCs w:val="20"/>
              </w:rPr>
              <w:t>values</w:t>
            </w:r>
            <w:r>
              <w:rPr>
                <w:rFonts w:cs="Calibri"/>
                <w:sz w:val="18"/>
                <w:szCs w:val="20"/>
              </w:rPr>
              <w:t xml:space="preserve"> that requires </w:t>
            </w:r>
            <w:r w:rsidR="008550BD">
              <w:rPr>
                <w:rFonts w:cs="Calibri"/>
                <w:sz w:val="18"/>
                <w:szCs w:val="20"/>
              </w:rPr>
              <w:t xml:space="preserve">health </w:t>
            </w:r>
            <w:r>
              <w:rPr>
                <w:rFonts w:cs="Calibri"/>
                <w:sz w:val="18"/>
                <w:szCs w:val="20"/>
              </w:rPr>
              <w:t xml:space="preserve">surveillance </w:t>
            </w:r>
            <w:r w:rsidRPr="002C069A">
              <w:rPr>
                <w:rFonts w:asciiTheme="minorHAnsi" w:hAnsiTheme="minorHAnsi" w:cstheme="minorHAnsi"/>
                <w:sz w:val="18"/>
                <w:szCs w:val="20"/>
              </w:rPr>
              <w:t>as identified through noise measurement assessment undertaken by the local Safety Representative or Occupational Hygiene</w:t>
            </w:r>
            <w:r>
              <w:rPr>
                <w:rFonts w:asciiTheme="minorHAnsi" w:hAnsiTheme="minorHAnsi" w:cstheme="minorHAnsi"/>
                <w:sz w:val="18"/>
                <w:szCs w:val="20"/>
              </w:rPr>
              <w:t>. Confirm the hazard a</w:t>
            </w:r>
            <w:r w:rsidRPr="004E64B8">
              <w:rPr>
                <w:rFonts w:asciiTheme="minorHAnsi" w:hAnsiTheme="minorHAnsi" w:cstheme="minorHAnsi"/>
                <w:sz w:val="18"/>
                <w:szCs w:val="20"/>
              </w:rPr>
              <w:t>s identified through risk assessment</w:t>
            </w:r>
            <w:r>
              <w:rPr>
                <w:rFonts w:asciiTheme="minorHAnsi" w:hAnsiTheme="minorHAnsi" w:cstheme="minorHAnsi"/>
                <w:sz w:val="18"/>
                <w:szCs w:val="20"/>
              </w:rPr>
              <w:t xml:space="preserve">.  </w:t>
            </w:r>
            <w:r w:rsidRPr="002C069A">
              <w:rPr>
                <w:rFonts w:asciiTheme="minorHAnsi" w:hAnsiTheme="minorHAnsi" w:cstheme="minorHAnsi"/>
                <w:sz w:val="18"/>
                <w:szCs w:val="20"/>
              </w:rPr>
              <w:t xml:space="preserve">Further guidance available at </w:t>
            </w:r>
            <w:hyperlink r:id="rId22" w:history="1">
              <w:r w:rsidRPr="005566CA">
                <w:rPr>
                  <w:rStyle w:val="Hyperlink"/>
                  <w:rFonts w:asciiTheme="minorHAnsi" w:hAnsiTheme="minorHAnsi" w:cstheme="minorHAnsi"/>
                  <w:sz w:val="18"/>
                  <w:szCs w:val="20"/>
                </w:rPr>
                <w:t>https://www.ed.ac.uk/health-safety/guidance/workplaces-general/noise</w:t>
              </w:r>
            </w:hyperlink>
            <w:r>
              <w:rPr>
                <w:rFonts w:asciiTheme="minorHAnsi" w:hAnsiTheme="minorHAnsi" w:cstheme="minorHAnsi"/>
                <w:sz w:val="18"/>
                <w:szCs w:val="20"/>
              </w:rPr>
              <w:t xml:space="preserve"> </w:t>
            </w:r>
          </w:p>
        </w:tc>
        <w:tc>
          <w:tcPr>
            <w:tcW w:w="1560" w:type="dxa"/>
          </w:tcPr>
          <w:p w14:paraId="07C88FCA" w14:textId="77777777" w:rsidR="005F1CBA" w:rsidRDefault="005F1CBA" w:rsidP="00B961C9">
            <w:pPr>
              <w:spacing w:before="60" w:after="60" w:line="240" w:lineRule="auto"/>
              <w:rPr>
                <w:rFonts w:asciiTheme="minorHAnsi" w:hAnsiTheme="minorHAnsi" w:cstheme="minorHAnsi"/>
                <w:sz w:val="18"/>
                <w:szCs w:val="20"/>
              </w:rPr>
            </w:pPr>
          </w:p>
        </w:tc>
      </w:tr>
      <w:tr w:rsidR="005F1CBA" w:rsidRPr="002A02E2" w14:paraId="6FDAC8A8" w14:textId="77777777" w:rsidTr="00CB5CF6">
        <w:tc>
          <w:tcPr>
            <w:tcW w:w="2552" w:type="dxa"/>
            <w:tcBorders>
              <w:bottom w:val="single" w:sz="4" w:space="0" w:color="auto"/>
              <w:right w:val="single" w:sz="4" w:space="0" w:color="auto"/>
            </w:tcBorders>
            <w:shd w:val="clear" w:color="auto" w:fill="auto"/>
          </w:tcPr>
          <w:p w14:paraId="38913503" w14:textId="77777777" w:rsidR="005F1CBA" w:rsidRPr="00466983" w:rsidRDefault="005F1CBA" w:rsidP="00B961C9">
            <w:pPr>
              <w:pStyle w:val="ListParagraph"/>
              <w:numPr>
                <w:ilvl w:val="0"/>
                <w:numId w:val="2"/>
              </w:numPr>
              <w:tabs>
                <w:tab w:val="left" w:pos="318"/>
                <w:tab w:val="right" w:pos="5652"/>
              </w:tabs>
              <w:spacing w:before="60" w:after="60" w:line="240" w:lineRule="auto"/>
              <w:ind w:left="316"/>
              <w:rPr>
                <w:rFonts w:cs="Calibri"/>
                <w:sz w:val="18"/>
                <w:szCs w:val="20"/>
              </w:rPr>
            </w:pPr>
            <w:r w:rsidRPr="004123E3">
              <w:rPr>
                <w:rFonts w:cs="Calibri"/>
                <w:sz w:val="18"/>
                <w:szCs w:val="20"/>
              </w:rPr>
              <w:t>Regular use of vibrating tools</w:t>
            </w:r>
            <w:r>
              <w:rPr>
                <w:rFonts w:cs="Calibri"/>
                <w:sz w:val="18"/>
                <w:szCs w:val="20"/>
              </w:rPr>
              <w:t xml:space="preserve"> </w:t>
            </w:r>
          </w:p>
        </w:tc>
        <w:tc>
          <w:tcPr>
            <w:tcW w:w="1417" w:type="dxa"/>
            <w:tcBorders>
              <w:left w:val="single" w:sz="4" w:space="0" w:color="auto"/>
            </w:tcBorders>
          </w:tcPr>
          <w:p w14:paraId="35AB731B"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0D6BA36F" w14:textId="74C2ED98" w:rsidR="005F1CBA" w:rsidRPr="004123E3" w:rsidRDefault="005F1CBA" w:rsidP="008550BD">
            <w:pPr>
              <w:spacing w:before="60" w:after="60" w:line="240" w:lineRule="auto"/>
              <w:rPr>
                <w:rFonts w:cs="Calibri"/>
                <w:b/>
                <w:sz w:val="18"/>
                <w:szCs w:val="20"/>
              </w:rPr>
            </w:pPr>
            <w:r>
              <w:rPr>
                <w:rFonts w:cs="Calibri"/>
                <w:sz w:val="18"/>
                <w:szCs w:val="20"/>
              </w:rPr>
              <w:t xml:space="preserve">At an action </w:t>
            </w:r>
            <w:r w:rsidR="008550BD">
              <w:rPr>
                <w:rFonts w:cs="Calibri"/>
                <w:sz w:val="18"/>
                <w:szCs w:val="20"/>
              </w:rPr>
              <w:t>values</w:t>
            </w:r>
            <w:r>
              <w:rPr>
                <w:rFonts w:cs="Calibri"/>
                <w:sz w:val="18"/>
                <w:szCs w:val="20"/>
              </w:rPr>
              <w:t xml:space="preserve"> that requires </w:t>
            </w:r>
            <w:r w:rsidR="008550BD">
              <w:rPr>
                <w:rFonts w:cs="Calibri"/>
                <w:sz w:val="18"/>
                <w:szCs w:val="20"/>
              </w:rPr>
              <w:t xml:space="preserve">health </w:t>
            </w:r>
            <w:r>
              <w:rPr>
                <w:rFonts w:cs="Calibri"/>
                <w:sz w:val="18"/>
                <w:szCs w:val="20"/>
              </w:rPr>
              <w:t xml:space="preserve">surveillance </w:t>
            </w:r>
            <w:r w:rsidRPr="002C069A">
              <w:rPr>
                <w:rFonts w:asciiTheme="minorHAnsi" w:hAnsiTheme="minorHAnsi" w:cstheme="minorHAnsi"/>
                <w:sz w:val="18"/>
                <w:szCs w:val="20"/>
              </w:rPr>
              <w:t xml:space="preserve">as identified through HAVS measurement assessment undertaken by the local </w:t>
            </w:r>
            <w:r w:rsidR="00B95A16">
              <w:rPr>
                <w:rFonts w:asciiTheme="minorHAnsi" w:hAnsiTheme="minorHAnsi" w:cstheme="minorHAnsi"/>
                <w:sz w:val="18"/>
                <w:szCs w:val="20"/>
              </w:rPr>
              <w:t xml:space="preserve">School </w:t>
            </w:r>
            <w:r w:rsidRPr="002C069A">
              <w:rPr>
                <w:rFonts w:asciiTheme="minorHAnsi" w:hAnsiTheme="minorHAnsi" w:cstheme="minorHAnsi"/>
                <w:sz w:val="18"/>
                <w:szCs w:val="20"/>
              </w:rPr>
              <w:t>Safety</w:t>
            </w:r>
            <w:r w:rsidR="00B95A16">
              <w:rPr>
                <w:rFonts w:asciiTheme="minorHAnsi" w:hAnsiTheme="minorHAnsi" w:cstheme="minorHAnsi"/>
                <w:sz w:val="18"/>
                <w:szCs w:val="20"/>
              </w:rPr>
              <w:t xml:space="preserve"> Adviser</w:t>
            </w:r>
            <w:r w:rsidRPr="002C069A">
              <w:rPr>
                <w:rFonts w:asciiTheme="minorHAnsi" w:hAnsiTheme="minorHAnsi" w:cstheme="minorHAnsi"/>
                <w:sz w:val="18"/>
                <w:szCs w:val="20"/>
              </w:rPr>
              <w:t xml:space="preserve"> or Occupational Hygiene Unit</w:t>
            </w:r>
            <w:r>
              <w:rPr>
                <w:rFonts w:asciiTheme="minorHAnsi" w:hAnsiTheme="minorHAnsi" w:cstheme="minorHAnsi"/>
                <w:sz w:val="18"/>
                <w:szCs w:val="20"/>
              </w:rPr>
              <w:t>. Confirm the hazard a</w:t>
            </w:r>
            <w:r w:rsidRPr="004E64B8">
              <w:rPr>
                <w:rFonts w:asciiTheme="minorHAnsi" w:hAnsiTheme="minorHAnsi" w:cstheme="minorHAnsi"/>
                <w:sz w:val="18"/>
                <w:szCs w:val="20"/>
              </w:rPr>
              <w:t>s identified through risk assessment</w:t>
            </w:r>
            <w:r>
              <w:rPr>
                <w:rFonts w:asciiTheme="minorHAnsi" w:hAnsiTheme="minorHAnsi" w:cstheme="minorHAnsi"/>
                <w:sz w:val="18"/>
                <w:szCs w:val="20"/>
              </w:rPr>
              <w:t xml:space="preserve">.  </w:t>
            </w:r>
            <w:r w:rsidR="00B95A16">
              <w:rPr>
                <w:rFonts w:asciiTheme="minorHAnsi" w:hAnsiTheme="minorHAnsi" w:cstheme="minorHAnsi"/>
                <w:sz w:val="18"/>
                <w:szCs w:val="20"/>
              </w:rPr>
              <w:t xml:space="preserve">See </w:t>
            </w:r>
            <w:hyperlink r:id="rId23" w:history="1">
              <w:r w:rsidR="00B95A16" w:rsidRPr="007D4DAB">
                <w:rPr>
                  <w:rStyle w:val="Hyperlink"/>
                  <w:rFonts w:asciiTheme="minorHAnsi" w:hAnsiTheme="minorHAnsi" w:cstheme="minorHAnsi"/>
                  <w:sz w:val="18"/>
                  <w:szCs w:val="20"/>
                </w:rPr>
                <w:t>https://www.edweb.ed.ac.uk/health-safety/guidance/workshops-maintenance-contractors</w:t>
              </w:r>
            </w:hyperlink>
            <w:r w:rsidR="00B95A16">
              <w:rPr>
                <w:rFonts w:asciiTheme="minorHAnsi" w:hAnsiTheme="minorHAnsi" w:cstheme="minorHAnsi"/>
                <w:sz w:val="18"/>
                <w:szCs w:val="20"/>
              </w:rPr>
              <w:t xml:space="preserve"> for further guidance.</w:t>
            </w:r>
          </w:p>
        </w:tc>
        <w:tc>
          <w:tcPr>
            <w:tcW w:w="1560" w:type="dxa"/>
          </w:tcPr>
          <w:p w14:paraId="75699DE1" w14:textId="77777777" w:rsidR="005F1CBA" w:rsidRDefault="005F1CBA" w:rsidP="00B961C9">
            <w:pPr>
              <w:spacing w:before="60" w:after="60" w:line="240" w:lineRule="auto"/>
              <w:rPr>
                <w:rFonts w:asciiTheme="minorHAnsi" w:hAnsiTheme="minorHAnsi" w:cstheme="minorHAnsi"/>
                <w:sz w:val="18"/>
                <w:szCs w:val="20"/>
              </w:rPr>
            </w:pPr>
          </w:p>
        </w:tc>
      </w:tr>
      <w:tr w:rsidR="005F1CBA" w:rsidRPr="002A02E2" w14:paraId="17127A80" w14:textId="77777777" w:rsidTr="00CB5CF6">
        <w:tc>
          <w:tcPr>
            <w:tcW w:w="2552" w:type="dxa"/>
            <w:tcBorders>
              <w:right w:val="single" w:sz="4" w:space="0" w:color="auto"/>
            </w:tcBorders>
            <w:shd w:val="clear" w:color="auto" w:fill="auto"/>
          </w:tcPr>
          <w:p w14:paraId="3750C20E" w14:textId="77777777" w:rsidR="005F1CBA" w:rsidRPr="004123E3" w:rsidRDefault="005F1CBA" w:rsidP="00B961C9">
            <w:pPr>
              <w:pStyle w:val="ListParagraph"/>
              <w:numPr>
                <w:ilvl w:val="0"/>
                <w:numId w:val="2"/>
              </w:numPr>
              <w:tabs>
                <w:tab w:val="left" w:pos="318"/>
                <w:tab w:val="left" w:pos="582"/>
                <w:tab w:val="right" w:pos="5652"/>
              </w:tabs>
              <w:spacing w:before="60" w:after="60" w:line="240" w:lineRule="auto"/>
              <w:ind w:left="176" w:hanging="176"/>
              <w:rPr>
                <w:rFonts w:cs="Calibri"/>
                <w:sz w:val="18"/>
                <w:szCs w:val="20"/>
              </w:rPr>
            </w:pPr>
            <w:r>
              <w:rPr>
                <w:rFonts w:cs="Calibri"/>
                <w:sz w:val="18"/>
                <w:szCs w:val="20"/>
              </w:rPr>
              <w:lastRenderedPageBreak/>
              <w:t xml:space="preserve">Respiratory protection </w:t>
            </w:r>
          </w:p>
        </w:tc>
        <w:tc>
          <w:tcPr>
            <w:tcW w:w="1417" w:type="dxa"/>
            <w:tcBorders>
              <w:left w:val="single" w:sz="4" w:space="0" w:color="auto"/>
            </w:tcBorders>
          </w:tcPr>
          <w:p w14:paraId="303151A7" w14:textId="77777777" w:rsidR="005F1CBA" w:rsidRPr="004123E3" w:rsidRDefault="005F1CBA" w:rsidP="00B961C9">
            <w:pPr>
              <w:spacing w:before="60" w:after="60" w:line="240" w:lineRule="auto"/>
              <w:rPr>
                <w:rFonts w:cs="Calibri"/>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1F04B6D7" w14:textId="77777777" w:rsidR="005F1CBA" w:rsidRDefault="005F1CBA" w:rsidP="00B961C9">
            <w:pPr>
              <w:spacing w:before="60" w:after="60" w:line="240" w:lineRule="auto"/>
              <w:rPr>
                <w:rFonts w:cs="Calibri"/>
                <w:sz w:val="18"/>
                <w:szCs w:val="20"/>
              </w:rPr>
            </w:pPr>
            <w:r>
              <w:rPr>
                <w:rFonts w:cs="Calibri"/>
                <w:sz w:val="18"/>
                <w:szCs w:val="20"/>
              </w:rPr>
              <w:t xml:space="preserve">Certain activities may require respiratory protective equipment. Please see </w:t>
            </w:r>
            <w:hyperlink r:id="rId24" w:history="1">
              <w:r w:rsidRPr="003F44BB">
                <w:rPr>
                  <w:rStyle w:val="Hyperlink"/>
                  <w:rFonts w:cs="Calibri"/>
                  <w:sz w:val="18"/>
                  <w:szCs w:val="20"/>
                </w:rPr>
                <w:t>https://www.ed.ac.uk/health-safety/guidance/ppe/rpe</w:t>
              </w:r>
            </w:hyperlink>
            <w:r>
              <w:rPr>
                <w:rFonts w:cs="Calibri"/>
                <w:sz w:val="18"/>
                <w:szCs w:val="20"/>
              </w:rPr>
              <w:t xml:space="preserve"> for further guidance</w:t>
            </w:r>
            <w:r w:rsidR="00B95A16">
              <w:rPr>
                <w:rFonts w:cs="Calibri"/>
                <w:sz w:val="18"/>
                <w:szCs w:val="20"/>
              </w:rPr>
              <w:t>.</w:t>
            </w:r>
          </w:p>
          <w:p w14:paraId="6F1640D7" w14:textId="0BC4FC03" w:rsidR="008B5A43" w:rsidRPr="003D411A" w:rsidRDefault="008B5A43" w:rsidP="00B961C9">
            <w:pPr>
              <w:spacing w:before="60" w:after="60" w:line="240" w:lineRule="auto"/>
              <w:rPr>
                <w:rFonts w:cs="Calibri"/>
                <w:sz w:val="18"/>
                <w:szCs w:val="20"/>
              </w:rPr>
            </w:pPr>
          </w:p>
        </w:tc>
        <w:tc>
          <w:tcPr>
            <w:tcW w:w="1560" w:type="dxa"/>
          </w:tcPr>
          <w:p w14:paraId="43C27BC1" w14:textId="77777777" w:rsidR="005F1CBA" w:rsidRDefault="005F1CBA" w:rsidP="00B961C9">
            <w:pPr>
              <w:spacing w:before="60" w:after="60" w:line="240" w:lineRule="auto"/>
              <w:rPr>
                <w:rFonts w:cs="Calibri"/>
                <w:sz w:val="18"/>
                <w:szCs w:val="20"/>
              </w:rPr>
            </w:pPr>
          </w:p>
        </w:tc>
      </w:tr>
      <w:tr w:rsidR="005F1CBA" w:rsidRPr="002A02E2" w14:paraId="25F21807" w14:textId="77777777" w:rsidTr="00CB5CF6">
        <w:tc>
          <w:tcPr>
            <w:tcW w:w="2552" w:type="dxa"/>
            <w:tcBorders>
              <w:right w:val="single" w:sz="4" w:space="0" w:color="auto"/>
            </w:tcBorders>
            <w:shd w:val="clear" w:color="auto" w:fill="auto"/>
          </w:tcPr>
          <w:p w14:paraId="3AF23CBE" w14:textId="77777777" w:rsidR="005F1CBA" w:rsidRPr="004123E3" w:rsidRDefault="005F1CBA" w:rsidP="00B961C9">
            <w:pPr>
              <w:pStyle w:val="ListParagraph"/>
              <w:numPr>
                <w:ilvl w:val="0"/>
                <w:numId w:val="2"/>
              </w:numPr>
              <w:tabs>
                <w:tab w:val="left" w:pos="318"/>
                <w:tab w:val="left" w:pos="582"/>
                <w:tab w:val="right" w:pos="5652"/>
              </w:tabs>
              <w:spacing w:before="60" w:after="60" w:line="240" w:lineRule="auto"/>
              <w:ind w:left="176" w:hanging="176"/>
              <w:rPr>
                <w:rFonts w:cs="Calibri"/>
                <w:sz w:val="18"/>
                <w:szCs w:val="20"/>
              </w:rPr>
            </w:pPr>
            <w:r w:rsidRPr="004123E3">
              <w:rPr>
                <w:rFonts w:cs="Calibri"/>
                <w:sz w:val="18"/>
                <w:szCs w:val="20"/>
              </w:rPr>
              <w:t xml:space="preserve">Other  - </w:t>
            </w:r>
            <w:r w:rsidRPr="004123E3">
              <w:rPr>
                <w:rFonts w:cs="Calibri"/>
                <w:i/>
                <w:sz w:val="18"/>
                <w:szCs w:val="20"/>
              </w:rPr>
              <w:t>Please specify</w:t>
            </w:r>
          </w:p>
        </w:tc>
        <w:tc>
          <w:tcPr>
            <w:tcW w:w="1417" w:type="dxa"/>
            <w:tcBorders>
              <w:left w:val="single" w:sz="4" w:space="0" w:color="auto"/>
            </w:tcBorders>
          </w:tcPr>
          <w:p w14:paraId="7A11205C" w14:textId="77777777" w:rsidR="005F1CBA" w:rsidRPr="004123E3" w:rsidRDefault="005F1CBA" w:rsidP="00B961C9">
            <w:pPr>
              <w:spacing w:before="60" w:after="60" w:line="240" w:lineRule="auto"/>
              <w:rPr>
                <w:rFonts w:cs="Calibri"/>
                <w:b/>
                <w:sz w:val="18"/>
                <w:szCs w:val="20"/>
              </w:rPr>
            </w:pPr>
            <w:r w:rsidRPr="004123E3">
              <w:rPr>
                <w:rFonts w:cs="Calibri"/>
                <w:sz w:val="18"/>
                <w:szCs w:val="20"/>
              </w:rPr>
              <w:t xml:space="preserve">Yes </w:t>
            </w:r>
            <w:r w:rsidRPr="004123E3">
              <w:rPr>
                <w:rFonts w:cs="Calibri"/>
                <w:sz w:val="18"/>
                <w:szCs w:val="20"/>
              </w:rPr>
              <w:fldChar w:fldCharType="begin">
                <w:ffData>
                  <w:name w:val="Check7"/>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r w:rsidRPr="004123E3">
              <w:rPr>
                <w:rFonts w:cs="Calibri"/>
                <w:sz w:val="18"/>
                <w:szCs w:val="20"/>
              </w:rPr>
              <w:t xml:space="preserve"> No</w:t>
            </w:r>
            <w:r w:rsidRPr="004123E3">
              <w:rPr>
                <w:rFonts w:cs="Calibri"/>
                <w:sz w:val="18"/>
                <w:szCs w:val="20"/>
              </w:rPr>
              <w:fldChar w:fldCharType="begin">
                <w:ffData>
                  <w:name w:val="Check8"/>
                  <w:enabled/>
                  <w:calcOnExit w:val="0"/>
                  <w:checkBox>
                    <w:sizeAuto/>
                    <w:default w:val="0"/>
                  </w:checkBox>
                </w:ffData>
              </w:fldChar>
            </w:r>
            <w:r w:rsidRPr="004123E3">
              <w:rPr>
                <w:rFonts w:cs="Calibri"/>
                <w:sz w:val="18"/>
                <w:szCs w:val="20"/>
              </w:rPr>
              <w:instrText xml:space="preserve"> FORMCHECKBOX </w:instrText>
            </w:r>
            <w:r w:rsidR="00164507">
              <w:rPr>
                <w:rFonts w:cs="Calibri"/>
                <w:sz w:val="18"/>
                <w:szCs w:val="20"/>
              </w:rPr>
            </w:r>
            <w:r w:rsidR="00164507">
              <w:rPr>
                <w:rFonts w:cs="Calibri"/>
                <w:sz w:val="18"/>
                <w:szCs w:val="20"/>
              </w:rPr>
              <w:fldChar w:fldCharType="separate"/>
            </w:r>
            <w:r w:rsidRPr="004123E3">
              <w:rPr>
                <w:rFonts w:cs="Calibri"/>
                <w:sz w:val="18"/>
                <w:szCs w:val="20"/>
              </w:rPr>
              <w:fldChar w:fldCharType="end"/>
            </w:r>
          </w:p>
        </w:tc>
        <w:tc>
          <w:tcPr>
            <w:tcW w:w="9497" w:type="dxa"/>
            <w:shd w:val="clear" w:color="auto" w:fill="auto"/>
          </w:tcPr>
          <w:p w14:paraId="7E13535E" w14:textId="77777777" w:rsidR="005F1CBA" w:rsidRPr="007F63BE" w:rsidRDefault="005F1CBA" w:rsidP="00B961C9">
            <w:pPr>
              <w:spacing w:before="60" w:after="60" w:line="240" w:lineRule="auto"/>
              <w:rPr>
                <w:rFonts w:cs="Calibri"/>
                <w:b/>
                <w:sz w:val="18"/>
                <w:szCs w:val="20"/>
              </w:rPr>
            </w:pPr>
            <w:r>
              <w:rPr>
                <w:rFonts w:cs="Calibri"/>
                <w:sz w:val="18"/>
                <w:szCs w:val="20"/>
              </w:rPr>
              <w:t>There may be other key hazards which have not been identified in the list above, you must ensure these are also considered.</w:t>
            </w:r>
          </w:p>
          <w:p w14:paraId="4672375B" w14:textId="77777777" w:rsidR="005F1CBA" w:rsidRDefault="005F1CBA" w:rsidP="00B961C9">
            <w:pPr>
              <w:spacing w:before="60" w:after="60" w:line="240" w:lineRule="auto"/>
              <w:rPr>
                <w:rFonts w:cs="Calibri"/>
                <w:sz w:val="18"/>
                <w:szCs w:val="20"/>
              </w:rPr>
            </w:pPr>
          </w:p>
          <w:p w14:paraId="4536617D" w14:textId="77777777" w:rsidR="005F1CBA" w:rsidRDefault="005F1CBA" w:rsidP="00B961C9">
            <w:pPr>
              <w:spacing w:before="60" w:after="60" w:line="240" w:lineRule="auto"/>
              <w:rPr>
                <w:rFonts w:cs="Calibri"/>
                <w:sz w:val="18"/>
                <w:szCs w:val="20"/>
              </w:rPr>
            </w:pPr>
          </w:p>
          <w:p w14:paraId="0372621D" w14:textId="77777777" w:rsidR="008B5A43" w:rsidRDefault="008B5A43" w:rsidP="00B961C9">
            <w:pPr>
              <w:spacing w:before="60" w:after="60" w:line="240" w:lineRule="auto"/>
              <w:rPr>
                <w:rFonts w:cs="Calibri"/>
                <w:sz w:val="18"/>
                <w:szCs w:val="20"/>
              </w:rPr>
            </w:pPr>
          </w:p>
          <w:p w14:paraId="26C281CA" w14:textId="5246DBFD" w:rsidR="008B5A43" w:rsidRPr="003D411A" w:rsidRDefault="008B5A43" w:rsidP="00B961C9">
            <w:pPr>
              <w:spacing w:before="60" w:after="60" w:line="240" w:lineRule="auto"/>
              <w:rPr>
                <w:rFonts w:cs="Calibri"/>
                <w:sz w:val="18"/>
                <w:szCs w:val="20"/>
              </w:rPr>
            </w:pPr>
          </w:p>
        </w:tc>
        <w:tc>
          <w:tcPr>
            <w:tcW w:w="1560" w:type="dxa"/>
          </w:tcPr>
          <w:p w14:paraId="0EF9F329" w14:textId="77777777" w:rsidR="005F1CBA" w:rsidRDefault="005F1CBA" w:rsidP="00B961C9">
            <w:pPr>
              <w:spacing w:before="60" w:after="60" w:line="240" w:lineRule="auto"/>
              <w:rPr>
                <w:rFonts w:cs="Calibri"/>
                <w:sz w:val="18"/>
                <w:szCs w:val="20"/>
              </w:rPr>
            </w:pPr>
          </w:p>
        </w:tc>
      </w:tr>
    </w:tbl>
    <w:p w14:paraId="33304D8B" w14:textId="77777777" w:rsidR="00B961C9" w:rsidRDefault="00B961C9" w:rsidP="00466983">
      <w:pPr>
        <w:spacing w:before="120" w:after="0"/>
        <w:rPr>
          <w:rFonts w:ascii="Arial" w:hAnsi="Arial" w:cs="Arial"/>
          <w:b/>
          <w:bCs/>
          <w:sz w:val="18"/>
          <w:szCs w:val="18"/>
        </w:rPr>
      </w:pPr>
    </w:p>
    <w:p w14:paraId="53909DDB" w14:textId="3C3AB4A1" w:rsidR="00EB37DE" w:rsidRDefault="005F1CBA" w:rsidP="00EE4A95">
      <w:pPr>
        <w:spacing w:before="120" w:after="0"/>
        <w:ind w:firstLine="720"/>
        <w:rPr>
          <w:rFonts w:ascii="Arial" w:hAnsi="Arial" w:cs="Arial"/>
          <w:b/>
          <w:bCs/>
          <w:sz w:val="18"/>
          <w:szCs w:val="18"/>
        </w:rPr>
      </w:pPr>
      <w:r>
        <w:rPr>
          <w:rFonts w:ascii="Arial" w:hAnsi="Arial" w:cs="Arial"/>
          <w:b/>
          <w:bCs/>
          <w:sz w:val="18"/>
          <w:szCs w:val="18"/>
        </w:rPr>
        <w:t>Section 2 - Post Recruitment:</w:t>
      </w:r>
    </w:p>
    <w:tbl>
      <w:tblPr>
        <w:tblW w:w="146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69"/>
        <w:gridCol w:w="2409"/>
        <w:gridCol w:w="5670"/>
      </w:tblGrid>
      <w:tr w:rsidR="00EB37DE" w:rsidRPr="00EB37DE" w14:paraId="58EB8D51" w14:textId="77777777" w:rsidTr="005F1CBA">
        <w:trPr>
          <w:trHeight w:val="397"/>
        </w:trPr>
        <w:tc>
          <w:tcPr>
            <w:tcW w:w="2552" w:type="dxa"/>
            <w:shd w:val="clear" w:color="auto" w:fill="auto"/>
            <w:vAlign w:val="bottom"/>
          </w:tcPr>
          <w:p w14:paraId="6E04C82D" w14:textId="77777777" w:rsidR="00EB37DE" w:rsidRPr="00EB37DE" w:rsidRDefault="00EB37DE" w:rsidP="00EB37DE">
            <w:pPr>
              <w:spacing w:before="240" w:after="0" w:line="240" w:lineRule="auto"/>
              <w:rPr>
                <w:rFonts w:ascii="Arial" w:hAnsi="Arial" w:cs="Arial"/>
                <w:bCs/>
                <w:sz w:val="20"/>
                <w:szCs w:val="20"/>
              </w:rPr>
            </w:pPr>
            <w:r w:rsidRPr="00EB37DE">
              <w:rPr>
                <w:rFonts w:ascii="Arial" w:hAnsi="Arial" w:cs="Arial"/>
                <w:bCs/>
                <w:sz w:val="20"/>
                <w:szCs w:val="20"/>
              </w:rPr>
              <w:t>First names:</w:t>
            </w:r>
          </w:p>
        </w:tc>
        <w:tc>
          <w:tcPr>
            <w:tcW w:w="3969" w:type="dxa"/>
            <w:shd w:val="clear" w:color="auto" w:fill="auto"/>
            <w:vAlign w:val="bottom"/>
          </w:tcPr>
          <w:p w14:paraId="48805C96" w14:textId="77777777" w:rsidR="00EB37DE" w:rsidRPr="00EB37DE" w:rsidRDefault="00EB37DE" w:rsidP="00EB37DE">
            <w:pPr>
              <w:spacing w:before="240" w:after="0" w:line="240" w:lineRule="auto"/>
              <w:rPr>
                <w:rFonts w:ascii="Arial" w:hAnsi="Arial" w:cs="Arial"/>
                <w:bCs/>
                <w:sz w:val="20"/>
                <w:szCs w:val="20"/>
              </w:rPr>
            </w:pPr>
          </w:p>
        </w:tc>
        <w:tc>
          <w:tcPr>
            <w:tcW w:w="2409" w:type="dxa"/>
            <w:shd w:val="clear" w:color="auto" w:fill="auto"/>
            <w:vAlign w:val="bottom"/>
          </w:tcPr>
          <w:p w14:paraId="7F6CB23E" w14:textId="77777777" w:rsidR="00EB37DE" w:rsidRPr="00EB37DE" w:rsidRDefault="005F1CBA" w:rsidP="00EB37DE">
            <w:pPr>
              <w:spacing w:before="240" w:after="0" w:line="240" w:lineRule="auto"/>
              <w:rPr>
                <w:rFonts w:ascii="Arial" w:hAnsi="Arial" w:cs="Arial"/>
                <w:bCs/>
                <w:sz w:val="20"/>
                <w:szCs w:val="20"/>
              </w:rPr>
            </w:pPr>
            <w:r>
              <w:rPr>
                <w:rFonts w:ascii="Arial" w:hAnsi="Arial" w:cs="Arial"/>
                <w:bCs/>
                <w:sz w:val="20"/>
                <w:szCs w:val="20"/>
              </w:rPr>
              <w:t>Surname</w:t>
            </w:r>
            <w:r w:rsidR="00EB37DE" w:rsidRPr="00EB37DE">
              <w:rPr>
                <w:rFonts w:ascii="Arial" w:hAnsi="Arial" w:cs="Arial"/>
                <w:bCs/>
                <w:sz w:val="20"/>
                <w:szCs w:val="20"/>
              </w:rPr>
              <w:t>:</w:t>
            </w:r>
          </w:p>
        </w:tc>
        <w:tc>
          <w:tcPr>
            <w:tcW w:w="5670" w:type="dxa"/>
            <w:shd w:val="clear" w:color="auto" w:fill="auto"/>
            <w:vAlign w:val="bottom"/>
          </w:tcPr>
          <w:p w14:paraId="07FEE6DE" w14:textId="77777777" w:rsidR="00EB37DE" w:rsidRPr="00EB37DE" w:rsidRDefault="00EB37DE" w:rsidP="00EB37DE">
            <w:pPr>
              <w:spacing w:before="240" w:after="0" w:line="240" w:lineRule="auto"/>
              <w:rPr>
                <w:rFonts w:ascii="Arial" w:hAnsi="Arial" w:cs="Arial"/>
                <w:bCs/>
                <w:sz w:val="20"/>
                <w:szCs w:val="20"/>
              </w:rPr>
            </w:pPr>
          </w:p>
        </w:tc>
      </w:tr>
      <w:tr w:rsidR="00EB37DE" w:rsidRPr="00EB37DE" w14:paraId="15FFB7A7" w14:textId="77777777" w:rsidTr="005F1CBA">
        <w:trPr>
          <w:trHeight w:val="397"/>
        </w:trPr>
        <w:tc>
          <w:tcPr>
            <w:tcW w:w="2552" w:type="dxa"/>
            <w:shd w:val="clear" w:color="auto" w:fill="auto"/>
            <w:vAlign w:val="bottom"/>
          </w:tcPr>
          <w:p w14:paraId="5F993EE1" w14:textId="77777777" w:rsidR="00EB37DE" w:rsidRPr="00EB37DE" w:rsidRDefault="00EB37DE" w:rsidP="00EB37DE">
            <w:pPr>
              <w:spacing w:before="240" w:after="0" w:line="240" w:lineRule="auto"/>
              <w:rPr>
                <w:rFonts w:ascii="Arial" w:hAnsi="Arial" w:cs="Arial"/>
                <w:bCs/>
                <w:sz w:val="20"/>
                <w:szCs w:val="20"/>
              </w:rPr>
            </w:pPr>
            <w:r w:rsidRPr="00EB37DE">
              <w:rPr>
                <w:rFonts w:ascii="Arial" w:hAnsi="Arial" w:cs="Arial"/>
                <w:bCs/>
                <w:sz w:val="20"/>
                <w:szCs w:val="20"/>
              </w:rPr>
              <w:t>Job title:</w:t>
            </w:r>
          </w:p>
        </w:tc>
        <w:tc>
          <w:tcPr>
            <w:tcW w:w="3969" w:type="dxa"/>
            <w:shd w:val="clear" w:color="auto" w:fill="auto"/>
            <w:vAlign w:val="bottom"/>
          </w:tcPr>
          <w:p w14:paraId="150E3181" w14:textId="77777777" w:rsidR="00EB37DE" w:rsidRPr="00EB37DE" w:rsidRDefault="00EB37DE" w:rsidP="00EB37DE">
            <w:pPr>
              <w:spacing w:before="240" w:after="0" w:line="240" w:lineRule="auto"/>
              <w:rPr>
                <w:rFonts w:ascii="Arial" w:hAnsi="Arial" w:cs="Arial"/>
                <w:bCs/>
                <w:sz w:val="20"/>
                <w:szCs w:val="20"/>
              </w:rPr>
            </w:pPr>
          </w:p>
        </w:tc>
        <w:tc>
          <w:tcPr>
            <w:tcW w:w="2409" w:type="dxa"/>
            <w:shd w:val="clear" w:color="auto" w:fill="auto"/>
            <w:vAlign w:val="bottom"/>
          </w:tcPr>
          <w:p w14:paraId="5C8DEDB0" w14:textId="77777777" w:rsidR="00EB37DE" w:rsidRPr="00EB37DE" w:rsidRDefault="00EB37DE" w:rsidP="00EB37DE">
            <w:pPr>
              <w:spacing w:before="240" w:after="0" w:line="240" w:lineRule="auto"/>
              <w:rPr>
                <w:rFonts w:ascii="Arial" w:hAnsi="Arial" w:cs="Arial"/>
                <w:bCs/>
                <w:sz w:val="20"/>
                <w:szCs w:val="20"/>
              </w:rPr>
            </w:pPr>
            <w:r w:rsidRPr="00EB37DE">
              <w:rPr>
                <w:rFonts w:ascii="Arial" w:hAnsi="Arial" w:cs="Arial"/>
                <w:bCs/>
                <w:sz w:val="20"/>
                <w:szCs w:val="20"/>
              </w:rPr>
              <w:t>Start date:</w:t>
            </w:r>
          </w:p>
        </w:tc>
        <w:tc>
          <w:tcPr>
            <w:tcW w:w="5670" w:type="dxa"/>
            <w:shd w:val="clear" w:color="auto" w:fill="auto"/>
            <w:vAlign w:val="bottom"/>
          </w:tcPr>
          <w:p w14:paraId="4BE4723F" w14:textId="77777777" w:rsidR="00EB37DE" w:rsidRPr="00EB37DE" w:rsidRDefault="00EB37DE" w:rsidP="00EB37DE">
            <w:pPr>
              <w:spacing w:before="240" w:after="0" w:line="240" w:lineRule="auto"/>
              <w:rPr>
                <w:rFonts w:ascii="Arial" w:hAnsi="Arial" w:cs="Arial"/>
                <w:bCs/>
                <w:sz w:val="20"/>
                <w:szCs w:val="20"/>
              </w:rPr>
            </w:pPr>
          </w:p>
        </w:tc>
      </w:tr>
      <w:tr w:rsidR="00EB37DE" w:rsidRPr="00EB37DE" w14:paraId="1BCF0E8E" w14:textId="77777777" w:rsidTr="005F1CBA">
        <w:trPr>
          <w:trHeight w:val="397"/>
        </w:trPr>
        <w:tc>
          <w:tcPr>
            <w:tcW w:w="2552" w:type="dxa"/>
            <w:tcBorders>
              <w:top w:val="single" w:sz="12" w:space="0" w:color="auto"/>
              <w:left w:val="single" w:sz="12" w:space="0" w:color="auto"/>
              <w:bottom w:val="single" w:sz="12" w:space="0" w:color="auto"/>
              <w:right w:val="single" w:sz="12" w:space="0" w:color="auto"/>
            </w:tcBorders>
            <w:shd w:val="clear" w:color="auto" w:fill="auto"/>
            <w:vAlign w:val="bottom"/>
          </w:tcPr>
          <w:p w14:paraId="0E353034" w14:textId="77777777" w:rsidR="00EB37DE" w:rsidRPr="00EB37DE" w:rsidRDefault="00EB37DE" w:rsidP="00EB37DE">
            <w:pPr>
              <w:spacing w:after="0" w:line="240" w:lineRule="auto"/>
              <w:rPr>
                <w:rFonts w:ascii="Arial" w:hAnsi="Arial" w:cs="Arial"/>
                <w:b/>
                <w:bCs/>
                <w:sz w:val="20"/>
                <w:szCs w:val="20"/>
              </w:rPr>
            </w:pPr>
            <w:r w:rsidRPr="00EB37DE">
              <w:rPr>
                <w:rFonts w:ascii="Arial" w:hAnsi="Arial" w:cs="Arial"/>
                <w:b/>
                <w:bCs/>
                <w:sz w:val="20"/>
                <w:szCs w:val="20"/>
              </w:rPr>
              <w:t>Form completed by</w:t>
            </w:r>
            <w:r w:rsidR="005F1CBA">
              <w:rPr>
                <w:rFonts w:ascii="Arial" w:hAnsi="Arial" w:cs="Arial"/>
                <w:b/>
                <w:bCs/>
                <w:sz w:val="20"/>
                <w:szCs w:val="20"/>
              </w:rPr>
              <w:t>:</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bottom"/>
          </w:tcPr>
          <w:p w14:paraId="2986E6A7" w14:textId="77777777" w:rsidR="00EB37DE" w:rsidRPr="00EB37DE" w:rsidRDefault="00EB37DE" w:rsidP="00EB37DE">
            <w:pPr>
              <w:spacing w:before="240" w:after="0" w:line="240" w:lineRule="auto"/>
              <w:rPr>
                <w:rFonts w:ascii="Arial" w:hAnsi="Arial" w:cs="Arial"/>
                <w:bCs/>
                <w:sz w:val="20"/>
                <w:szCs w:val="20"/>
              </w:rPr>
            </w:pP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bottom"/>
          </w:tcPr>
          <w:p w14:paraId="374B4B24" w14:textId="77777777" w:rsidR="00EB37DE" w:rsidRPr="00EB37DE" w:rsidRDefault="00EB37DE" w:rsidP="00EB37DE">
            <w:pPr>
              <w:spacing w:before="240" w:after="0" w:line="240" w:lineRule="auto"/>
              <w:rPr>
                <w:rFonts w:ascii="Arial" w:hAnsi="Arial" w:cs="Arial"/>
                <w:bCs/>
                <w:sz w:val="20"/>
                <w:szCs w:val="20"/>
              </w:rPr>
            </w:pPr>
            <w:r w:rsidRPr="00EB37DE">
              <w:rPr>
                <w:rFonts w:ascii="Arial" w:hAnsi="Arial" w:cs="Arial"/>
                <w:b/>
                <w:bCs/>
                <w:sz w:val="20"/>
                <w:szCs w:val="20"/>
              </w:rPr>
              <w:t>Post title</w:t>
            </w:r>
            <w:r w:rsidRPr="00EB37DE">
              <w:rPr>
                <w:rFonts w:ascii="Arial" w:hAnsi="Arial" w:cs="Arial"/>
                <w:bCs/>
                <w:sz w:val="20"/>
                <w:szCs w:val="20"/>
              </w:rPr>
              <w:t>:</w:t>
            </w:r>
          </w:p>
        </w:tc>
        <w:tc>
          <w:tcPr>
            <w:tcW w:w="5670" w:type="dxa"/>
            <w:tcBorders>
              <w:top w:val="single" w:sz="12" w:space="0" w:color="auto"/>
              <w:left w:val="single" w:sz="12" w:space="0" w:color="auto"/>
              <w:bottom w:val="single" w:sz="12" w:space="0" w:color="auto"/>
              <w:right w:val="single" w:sz="12" w:space="0" w:color="auto"/>
            </w:tcBorders>
            <w:shd w:val="clear" w:color="auto" w:fill="auto"/>
            <w:vAlign w:val="bottom"/>
          </w:tcPr>
          <w:p w14:paraId="5E8E7FF0" w14:textId="77777777" w:rsidR="00EB37DE" w:rsidRPr="00EB37DE" w:rsidRDefault="00EB37DE" w:rsidP="00EB37DE">
            <w:pPr>
              <w:spacing w:before="240" w:after="0" w:line="240" w:lineRule="auto"/>
              <w:rPr>
                <w:rFonts w:ascii="Arial" w:hAnsi="Arial" w:cs="Arial"/>
                <w:bCs/>
                <w:sz w:val="20"/>
                <w:szCs w:val="20"/>
              </w:rPr>
            </w:pPr>
          </w:p>
        </w:tc>
      </w:tr>
    </w:tbl>
    <w:p w14:paraId="41530BBC" w14:textId="06EE7D34" w:rsidR="00CB5CF6" w:rsidRDefault="004C7DDD" w:rsidP="00EE4A95">
      <w:pPr>
        <w:spacing w:before="120" w:after="0"/>
        <w:ind w:firstLine="720"/>
        <w:rPr>
          <w:rFonts w:ascii="Arial" w:hAnsi="Arial" w:cs="Arial"/>
          <w:b/>
          <w:bCs/>
          <w:sz w:val="18"/>
          <w:szCs w:val="18"/>
        </w:rPr>
      </w:pPr>
      <w:r>
        <w:rPr>
          <w:rFonts w:ascii="Arial" w:hAnsi="Arial" w:cs="Arial"/>
          <w:b/>
          <w:bCs/>
          <w:sz w:val="18"/>
          <w:szCs w:val="18"/>
        </w:rPr>
        <w:t xml:space="preserve">File in </w:t>
      </w:r>
      <w:r w:rsidRPr="004C7DDD">
        <w:rPr>
          <w:rFonts w:ascii="Arial" w:hAnsi="Arial" w:cs="Arial"/>
          <w:b/>
          <w:bCs/>
          <w:sz w:val="18"/>
          <w:szCs w:val="18"/>
        </w:rPr>
        <w:t>CATEGORY: 09 – OPERATIONAL on the HR Employee SharePoint site</w:t>
      </w:r>
      <w:r>
        <w:rPr>
          <w:rFonts w:ascii="Arial" w:hAnsi="Arial" w:cs="Arial"/>
          <w:b/>
          <w:bCs/>
          <w:sz w:val="18"/>
          <w:szCs w:val="18"/>
        </w:rPr>
        <w:t xml:space="preserve"> for employee</w:t>
      </w:r>
    </w:p>
    <w:p w14:paraId="15295F98" w14:textId="77777777" w:rsidR="00D9269F" w:rsidRPr="00D9269F" w:rsidRDefault="00D9269F" w:rsidP="00D9269F">
      <w:pPr>
        <w:tabs>
          <w:tab w:val="right" w:leader="underscore" w:pos="10065"/>
        </w:tabs>
        <w:rPr>
          <w:rFonts w:ascii="Arial" w:hAnsi="Arial" w:cs="Arial"/>
          <w:sz w:val="16"/>
          <w:szCs w:val="16"/>
        </w:rPr>
      </w:pPr>
    </w:p>
    <w:sectPr w:rsidR="00D9269F" w:rsidRPr="00D9269F" w:rsidSect="005F1CBA">
      <w:headerReference w:type="default" r:id="rId25"/>
      <w:footerReference w:type="default" r:id="rId26"/>
      <w:pgSz w:w="16838" w:h="11906" w:orient="landscape" w:code="9"/>
      <w:pgMar w:top="851" w:right="1391" w:bottom="709" w:left="142"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E74D2" w14:textId="77777777" w:rsidR="00BC565B" w:rsidRDefault="00BC565B" w:rsidP="00BF643A">
      <w:pPr>
        <w:spacing w:after="0" w:line="240" w:lineRule="auto"/>
      </w:pPr>
      <w:r>
        <w:separator/>
      </w:r>
    </w:p>
  </w:endnote>
  <w:endnote w:type="continuationSeparator" w:id="0">
    <w:p w14:paraId="218AB246" w14:textId="77777777" w:rsidR="00BC565B" w:rsidRDefault="00BC565B" w:rsidP="00BF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7398" w14:textId="77777777" w:rsidR="009135E4" w:rsidRDefault="009135E4" w:rsidP="00A4607B">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F241" w14:textId="77777777" w:rsidR="00BC565B" w:rsidRDefault="00BC565B" w:rsidP="00BF643A">
      <w:pPr>
        <w:spacing w:after="0" w:line="240" w:lineRule="auto"/>
      </w:pPr>
      <w:r>
        <w:separator/>
      </w:r>
    </w:p>
  </w:footnote>
  <w:footnote w:type="continuationSeparator" w:id="0">
    <w:p w14:paraId="740930FF" w14:textId="77777777" w:rsidR="00BC565B" w:rsidRDefault="00BC565B" w:rsidP="00BF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9A5F" w14:textId="17566B9A" w:rsidR="009135E4" w:rsidRDefault="006617D3" w:rsidP="00BF643A">
    <w:pPr>
      <w:pStyle w:val="NoSpacing"/>
      <w:tabs>
        <w:tab w:val="left" w:pos="5652"/>
      </w:tabs>
      <w:spacing w:line="360" w:lineRule="auto"/>
      <w:jc w:val="right"/>
      <w:rPr>
        <w:rFonts w:ascii="Arial" w:hAnsi="Arial"/>
        <w:b/>
        <w:sz w:val="28"/>
        <w:szCs w:val="28"/>
      </w:rPr>
    </w:pPr>
    <w:r>
      <w:rPr>
        <w:rFonts w:ascii="Arial" w:hAnsi="Arial" w:cs="Arial"/>
        <w:noProof/>
        <w:sz w:val="18"/>
        <w:szCs w:val="18"/>
        <w:lang w:eastAsia="en-GB"/>
      </w:rPr>
      <w:drawing>
        <wp:anchor distT="0" distB="0" distL="114300" distR="114300" simplePos="0" relativeHeight="251659264" behindDoc="0" locked="0" layoutInCell="1" allowOverlap="1" wp14:anchorId="0A953786" wp14:editId="197FBFCA">
          <wp:simplePos x="0" y="0"/>
          <wp:positionH relativeFrom="column">
            <wp:posOffset>603250</wp:posOffset>
          </wp:positionH>
          <wp:positionV relativeFrom="paragraph">
            <wp:posOffset>-267335</wp:posOffset>
          </wp:positionV>
          <wp:extent cx="1025525" cy="1038225"/>
          <wp:effectExtent l="0" t="0" r="3175" b="9525"/>
          <wp:wrapSquare wrapText="bothSides"/>
          <wp:docPr id="9" name="Picture 9" descr="K:\saf\General\Crest\Cr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af\General\Crest\Cres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5E4">
      <w:rPr>
        <w:rFonts w:ascii="Arial" w:hAnsi="Arial"/>
        <w:b/>
        <w:sz w:val="28"/>
        <w:szCs w:val="28"/>
      </w:rPr>
      <w:t>CONFIDENTIAL</w:t>
    </w:r>
  </w:p>
  <w:p w14:paraId="696AB81A" w14:textId="77777777" w:rsidR="008B5A43" w:rsidRDefault="008B5A43" w:rsidP="00BF643A">
    <w:pPr>
      <w:pStyle w:val="NoSpacing"/>
      <w:tabs>
        <w:tab w:val="left" w:pos="5652"/>
      </w:tabs>
      <w:spacing w:line="360" w:lineRule="auto"/>
      <w:jc w:val="right"/>
      <w:rPr>
        <w:rFonts w:ascii="Arial" w:hAnsi="Arial"/>
        <w:b/>
        <w:sz w:val="28"/>
        <w:szCs w:val="28"/>
      </w:rPr>
    </w:pPr>
  </w:p>
  <w:p w14:paraId="32E4238D" w14:textId="77777777" w:rsidR="009135E4" w:rsidRPr="004123E3" w:rsidRDefault="009135E4" w:rsidP="00F65DC2">
    <w:pPr>
      <w:pStyle w:val="NoSpacing"/>
      <w:tabs>
        <w:tab w:val="left" w:pos="5652"/>
      </w:tabs>
      <w:spacing w:line="360" w:lineRule="auto"/>
      <w:jc w:val="right"/>
      <w:rPr>
        <w:rFonts w:ascii="Arial" w:hAnsi="Arial" w:cs="Arial"/>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A3"/>
    <w:multiLevelType w:val="hybridMultilevel"/>
    <w:tmpl w:val="B8C4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5452A7"/>
    <w:multiLevelType w:val="hybridMultilevel"/>
    <w:tmpl w:val="D45EC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3A"/>
    <w:rsid w:val="0004174B"/>
    <w:rsid w:val="00042A41"/>
    <w:rsid w:val="00054555"/>
    <w:rsid w:val="00065B45"/>
    <w:rsid w:val="00067F80"/>
    <w:rsid w:val="00080536"/>
    <w:rsid w:val="000828C6"/>
    <w:rsid w:val="000837D8"/>
    <w:rsid w:val="0008770E"/>
    <w:rsid w:val="00106061"/>
    <w:rsid w:val="00164507"/>
    <w:rsid w:val="001A4975"/>
    <w:rsid w:val="001C0E2F"/>
    <w:rsid w:val="001C52A5"/>
    <w:rsid w:val="001E4523"/>
    <w:rsid w:val="001F6B50"/>
    <w:rsid w:val="00207649"/>
    <w:rsid w:val="002114DE"/>
    <w:rsid w:val="00222C53"/>
    <w:rsid w:val="0023625F"/>
    <w:rsid w:val="00251E1E"/>
    <w:rsid w:val="0026241D"/>
    <w:rsid w:val="002664DC"/>
    <w:rsid w:val="00266A7A"/>
    <w:rsid w:val="002719DB"/>
    <w:rsid w:val="002744F3"/>
    <w:rsid w:val="002A02E2"/>
    <w:rsid w:val="002A51AD"/>
    <w:rsid w:val="002C069A"/>
    <w:rsid w:val="002F4DBB"/>
    <w:rsid w:val="00302203"/>
    <w:rsid w:val="003140CA"/>
    <w:rsid w:val="003412FC"/>
    <w:rsid w:val="00346D40"/>
    <w:rsid w:val="003608C9"/>
    <w:rsid w:val="00365039"/>
    <w:rsid w:val="003A6E95"/>
    <w:rsid w:val="003B67C6"/>
    <w:rsid w:val="003C6259"/>
    <w:rsid w:val="003D411A"/>
    <w:rsid w:val="0040242B"/>
    <w:rsid w:val="004123E3"/>
    <w:rsid w:val="00415C50"/>
    <w:rsid w:val="0043238D"/>
    <w:rsid w:val="00435F9E"/>
    <w:rsid w:val="00466983"/>
    <w:rsid w:val="00484D31"/>
    <w:rsid w:val="004A17FB"/>
    <w:rsid w:val="004C1D47"/>
    <w:rsid w:val="004C7DDD"/>
    <w:rsid w:val="004E1D33"/>
    <w:rsid w:val="004F354B"/>
    <w:rsid w:val="0052650E"/>
    <w:rsid w:val="00526CEA"/>
    <w:rsid w:val="005A1944"/>
    <w:rsid w:val="005B0CA9"/>
    <w:rsid w:val="005B733D"/>
    <w:rsid w:val="005F1CBA"/>
    <w:rsid w:val="005F2E74"/>
    <w:rsid w:val="005F7345"/>
    <w:rsid w:val="00610528"/>
    <w:rsid w:val="00616179"/>
    <w:rsid w:val="006617D3"/>
    <w:rsid w:val="006647B1"/>
    <w:rsid w:val="006941E4"/>
    <w:rsid w:val="006F3FF9"/>
    <w:rsid w:val="007022AC"/>
    <w:rsid w:val="00712CC5"/>
    <w:rsid w:val="007547D5"/>
    <w:rsid w:val="00763CEE"/>
    <w:rsid w:val="0077240B"/>
    <w:rsid w:val="00794D80"/>
    <w:rsid w:val="007C06AF"/>
    <w:rsid w:val="007E07C0"/>
    <w:rsid w:val="007F1882"/>
    <w:rsid w:val="007F63BE"/>
    <w:rsid w:val="00801A3C"/>
    <w:rsid w:val="00805727"/>
    <w:rsid w:val="008253EE"/>
    <w:rsid w:val="008307EC"/>
    <w:rsid w:val="00842A10"/>
    <w:rsid w:val="0085256A"/>
    <w:rsid w:val="008550BD"/>
    <w:rsid w:val="008646AD"/>
    <w:rsid w:val="00872824"/>
    <w:rsid w:val="00881359"/>
    <w:rsid w:val="008B5802"/>
    <w:rsid w:val="008B5A43"/>
    <w:rsid w:val="008D0604"/>
    <w:rsid w:val="008D50EE"/>
    <w:rsid w:val="008F23B5"/>
    <w:rsid w:val="008F5DB5"/>
    <w:rsid w:val="009135E4"/>
    <w:rsid w:val="00942E6D"/>
    <w:rsid w:val="00952DD6"/>
    <w:rsid w:val="0096092C"/>
    <w:rsid w:val="00964B01"/>
    <w:rsid w:val="00967A34"/>
    <w:rsid w:val="0097406D"/>
    <w:rsid w:val="009E5805"/>
    <w:rsid w:val="00A02B07"/>
    <w:rsid w:val="00A05C86"/>
    <w:rsid w:val="00A30C62"/>
    <w:rsid w:val="00A4607B"/>
    <w:rsid w:val="00A61ADB"/>
    <w:rsid w:val="00A70344"/>
    <w:rsid w:val="00A71BF6"/>
    <w:rsid w:val="00A956D2"/>
    <w:rsid w:val="00AA204B"/>
    <w:rsid w:val="00AA7D1C"/>
    <w:rsid w:val="00AB081E"/>
    <w:rsid w:val="00AC746C"/>
    <w:rsid w:val="00AD6D6D"/>
    <w:rsid w:val="00AF4537"/>
    <w:rsid w:val="00B27D0A"/>
    <w:rsid w:val="00B3404B"/>
    <w:rsid w:val="00B411B0"/>
    <w:rsid w:val="00B60FCB"/>
    <w:rsid w:val="00B6248B"/>
    <w:rsid w:val="00B805F1"/>
    <w:rsid w:val="00B82E03"/>
    <w:rsid w:val="00B95A16"/>
    <w:rsid w:val="00B961C9"/>
    <w:rsid w:val="00BA03A5"/>
    <w:rsid w:val="00BA03ED"/>
    <w:rsid w:val="00BA3AAE"/>
    <w:rsid w:val="00BB6617"/>
    <w:rsid w:val="00BC565B"/>
    <w:rsid w:val="00BD5317"/>
    <w:rsid w:val="00BF4CDF"/>
    <w:rsid w:val="00BF643A"/>
    <w:rsid w:val="00C14639"/>
    <w:rsid w:val="00C23690"/>
    <w:rsid w:val="00C24260"/>
    <w:rsid w:val="00C323F7"/>
    <w:rsid w:val="00C420C7"/>
    <w:rsid w:val="00C50E5F"/>
    <w:rsid w:val="00C55442"/>
    <w:rsid w:val="00CA13D2"/>
    <w:rsid w:val="00CB5CF6"/>
    <w:rsid w:val="00CC3AB9"/>
    <w:rsid w:val="00CD6D56"/>
    <w:rsid w:val="00D12EBF"/>
    <w:rsid w:val="00D5470B"/>
    <w:rsid w:val="00D67099"/>
    <w:rsid w:val="00D9269F"/>
    <w:rsid w:val="00DC25C1"/>
    <w:rsid w:val="00DC3C1C"/>
    <w:rsid w:val="00DD7D2B"/>
    <w:rsid w:val="00E243AD"/>
    <w:rsid w:val="00E26F80"/>
    <w:rsid w:val="00E40F50"/>
    <w:rsid w:val="00E545DD"/>
    <w:rsid w:val="00E63BB3"/>
    <w:rsid w:val="00E80C9B"/>
    <w:rsid w:val="00E860B7"/>
    <w:rsid w:val="00E97C70"/>
    <w:rsid w:val="00EA5B64"/>
    <w:rsid w:val="00EB37DE"/>
    <w:rsid w:val="00ED3CA8"/>
    <w:rsid w:val="00EE4A95"/>
    <w:rsid w:val="00EF5450"/>
    <w:rsid w:val="00F06AA3"/>
    <w:rsid w:val="00F277C5"/>
    <w:rsid w:val="00F34AE0"/>
    <w:rsid w:val="00F448B2"/>
    <w:rsid w:val="00F65DC2"/>
    <w:rsid w:val="00FD41BE"/>
    <w:rsid w:val="00FD6DDC"/>
    <w:rsid w:val="00FF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69EE5A"/>
  <w15:docId w15:val="{AE04B8E1-BF58-453E-8842-B89838A3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6C"/>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43A"/>
    <w:rPr>
      <w:color w:val="0000FF"/>
      <w:u w:val="single"/>
    </w:rPr>
  </w:style>
  <w:style w:type="paragraph" w:styleId="Header">
    <w:name w:val="header"/>
    <w:basedOn w:val="Normal"/>
    <w:link w:val="HeaderChar"/>
    <w:uiPriority w:val="99"/>
    <w:unhideWhenUsed/>
    <w:rsid w:val="00BF643A"/>
    <w:pPr>
      <w:tabs>
        <w:tab w:val="center" w:pos="4513"/>
        <w:tab w:val="right" w:pos="9026"/>
      </w:tabs>
      <w:spacing w:after="0" w:line="240" w:lineRule="auto"/>
    </w:pPr>
  </w:style>
  <w:style w:type="character" w:customStyle="1" w:styleId="HeaderChar">
    <w:name w:val="Header Char"/>
    <w:link w:val="Header"/>
    <w:uiPriority w:val="99"/>
    <w:rsid w:val="00BF643A"/>
    <w:rPr>
      <w:rFonts w:ascii="Calibri" w:eastAsia="Times New Roman" w:hAnsi="Calibri" w:cs="Times New Roman"/>
    </w:rPr>
  </w:style>
  <w:style w:type="paragraph" w:styleId="Footer">
    <w:name w:val="footer"/>
    <w:basedOn w:val="Normal"/>
    <w:link w:val="FooterChar"/>
    <w:uiPriority w:val="99"/>
    <w:unhideWhenUsed/>
    <w:rsid w:val="00BF643A"/>
    <w:pPr>
      <w:tabs>
        <w:tab w:val="center" w:pos="4513"/>
        <w:tab w:val="right" w:pos="9026"/>
      </w:tabs>
      <w:spacing w:after="0" w:line="240" w:lineRule="auto"/>
    </w:pPr>
  </w:style>
  <w:style w:type="character" w:customStyle="1" w:styleId="FooterChar">
    <w:name w:val="Footer Char"/>
    <w:link w:val="Footer"/>
    <w:uiPriority w:val="99"/>
    <w:rsid w:val="00BF643A"/>
    <w:rPr>
      <w:rFonts w:ascii="Calibri" w:eastAsia="Times New Roman" w:hAnsi="Calibri" w:cs="Times New Roman"/>
    </w:rPr>
  </w:style>
  <w:style w:type="paragraph" w:styleId="NoSpacing">
    <w:name w:val="No Spacing"/>
    <w:qFormat/>
    <w:rsid w:val="00BF643A"/>
    <w:rPr>
      <w:rFonts w:eastAsia="Times New Roman"/>
      <w:sz w:val="22"/>
      <w:szCs w:val="22"/>
      <w:lang w:eastAsia="en-US"/>
    </w:rPr>
  </w:style>
  <w:style w:type="paragraph" w:styleId="ListParagraph">
    <w:name w:val="List Paragraph"/>
    <w:basedOn w:val="Normal"/>
    <w:uiPriority w:val="34"/>
    <w:qFormat/>
    <w:rsid w:val="00AB081E"/>
    <w:pPr>
      <w:ind w:left="720"/>
      <w:contextualSpacing/>
    </w:pPr>
  </w:style>
  <w:style w:type="paragraph" w:styleId="BalloonText">
    <w:name w:val="Balloon Text"/>
    <w:basedOn w:val="Normal"/>
    <w:link w:val="BalloonTextChar"/>
    <w:uiPriority w:val="99"/>
    <w:semiHidden/>
    <w:unhideWhenUsed/>
    <w:rsid w:val="00435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5F9E"/>
    <w:rPr>
      <w:rFonts w:ascii="Tahoma" w:eastAsia="Times New Roman" w:hAnsi="Tahoma" w:cs="Tahoma"/>
      <w:sz w:val="16"/>
      <w:szCs w:val="16"/>
    </w:rPr>
  </w:style>
  <w:style w:type="paragraph" w:styleId="Revision">
    <w:name w:val="Revision"/>
    <w:hidden/>
    <w:uiPriority w:val="99"/>
    <w:semiHidden/>
    <w:rsid w:val="0008770E"/>
    <w:rPr>
      <w:rFonts w:eastAsia="Times New Roman"/>
      <w:sz w:val="22"/>
      <w:szCs w:val="22"/>
      <w:lang w:eastAsia="en-US"/>
    </w:rPr>
  </w:style>
  <w:style w:type="character" w:styleId="CommentReference">
    <w:name w:val="annotation reference"/>
    <w:basedOn w:val="DefaultParagraphFont"/>
    <w:uiPriority w:val="99"/>
    <w:semiHidden/>
    <w:unhideWhenUsed/>
    <w:rsid w:val="003A6E95"/>
    <w:rPr>
      <w:sz w:val="16"/>
      <w:szCs w:val="16"/>
    </w:rPr>
  </w:style>
  <w:style w:type="paragraph" w:styleId="CommentText">
    <w:name w:val="annotation text"/>
    <w:basedOn w:val="Normal"/>
    <w:link w:val="CommentTextChar"/>
    <w:uiPriority w:val="99"/>
    <w:semiHidden/>
    <w:unhideWhenUsed/>
    <w:rsid w:val="003A6E95"/>
    <w:pPr>
      <w:spacing w:line="240" w:lineRule="auto"/>
    </w:pPr>
    <w:rPr>
      <w:sz w:val="20"/>
      <w:szCs w:val="20"/>
    </w:rPr>
  </w:style>
  <w:style w:type="character" w:customStyle="1" w:styleId="CommentTextChar">
    <w:name w:val="Comment Text Char"/>
    <w:basedOn w:val="DefaultParagraphFont"/>
    <w:link w:val="CommentText"/>
    <w:uiPriority w:val="99"/>
    <w:semiHidden/>
    <w:rsid w:val="003A6E95"/>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A6E95"/>
    <w:rPr>
      <w:b/>
      <w:bCs/>
    </w:rPr>
  </w:style>
  <w:style w:type="character" w:customStyle="1" w:styleId="CommentSubjectChar">
    <w:name w:val="Comment Subject Char"/>
    <w:basedOn w:val="CommentTextChar"/>
    <w:link w:val="CommentSubject"/>
    <w:uiPriority w:val="99"/>
    <w:semiHidden/>
    <w:rsid w:val="003A6E95"/>
    <w:rPr>
      <w:rFonts w:eastAsia="Times New Roman"/>
      <w:b/>
      <w:bCs/>
      <w:lang w:eastAsia="en-US"/>
    </w:rPr>
  </w:style>
  <w:style w:type="character" w:styleId="FollowedHyperlink">
    <w:name w:val="FollowedHyperlink"/>
    <w:basedOn w:val="DefaultParagraphFont"/>
    <w:uiPriority w:val="99"/>
    <w:semiHidden/>
    <w:unhideWhenUsed/>
    <w:rsid w:val="00AA7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web.ed.ac.uk/health-safety/occupational-health/managers/health-surveillance/vaccinations-for-manager" TargetMode="External"/><Relationship Id="rId18" Type="http://schemas.openxmlformats.org/officeDocument/2006/relationships/hyperlink" Target="https://www.edweb.ed.ac.uk/health-safety/occupational-health/managers/health-surveill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ac.uk/health-safety/guidance/hazardous-substances/sensitisers" TargetMode="External"/><Relationship Id="rId7" Type="http://schemas.openxmlformats.org/officeDocument/2006/relationships/webSettings" Target="webSettings.xml"/><Relationship Id="rId12" Type="http://schemas.openxmlformats.org/officeDocument/2006/relationships/hyperlink" Target="https://www.edweb.ed.ac.uk/health-safety/occupational-health/managers/health-surveillance/vaccinations-for-manager" TargetMode="External"/><Relationship Id="rId17" Type="http://schemas.openxmlformats.org/officeDocument/2006/relationships/hyperlink" Target="https://www.edweb.ed.ac.uk/health-safety/occupational-health/managers/health-surveill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ac.uk/health-safety/radiation-protection/supervisors" TargetMode="External"/><Relationship Id="rId20" Type="http://schemas.openxmlformats.org/officeDocument/2006/relationships/hyperlink" Target="https://www.ed.ac.uk/health-safety/occupational-health/managers/travel-health-for-manag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web.ed.ac.uk/health-safety/occupational-health/managers/health-surveillance/vaccinations-for-manager" TargetMode="External"/><Relationship Id="rId24" Type="http://schemas.openxmlformats.org/officeDocument/2006/relationships/hyperlink" Target="https://www.ed.ac.uk/health-safety/guidance/ppe/rpe" TargetMode="External"/><Relationship Id="rId5" Type="http://schemas.openxmlformats.org/officeDocument/2006/relationships/styles" Target="styles.xml"/><Relationship Id="rId15" Type="http://schemas.openxmlformats.org/officeDocument/2006/relationships/hyperlink" Target="https://www.ed.ac.uk/health-safety/radiation-protection/about/contacts" TargetMode="External"/><Relationship Id="rId23" Type="http://schemas.openxmlformats.org/officeDocument/2006/relationships/hyperlink" Target="https://www.edweb.ed.ac.uk/health-safety/guidance/workshops-maintenance-contractors" TargetMode="External"/><Relationship Id="rId28" Type="http://schemas.openxmlformats.org/officeDocument/2006/relationships/theme" Target="theme/theme1.xml"/><Relationship Id="rId10" Type="http://schemas.openxmlformats.org/officeDocument/2006/relationships/hyperlink" Target="https://www.edweb.ed.ac.uk/health-safety/guidance/hazardous-substances/animal-allergens" TargetMode="External"/><Relationship Id="rId19" Type="http://schemas.openxmlformats.org/officeDocument/2006/relationships/hyperlink" Target="https://www.ed.ac.uk/staff/business-tra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web.ed.ac.uk/health-safety/occupational-health/managers/health-surveillance/vaccinations-for-manager" TargetMode="External"/><Relationship Id="rId22" Type="http://schemas.openxmlformats.org/officeDocument/2006/relationships/hyperlink" Target="https://www.ed.ac.uk/health-safety/guidance/workplaces-general/nois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C73F3639B4748B0137B309FC2874A" ma:contentTypeVersion="12" ma:contentTypeDescription="Create a new document." ma:contentTypeScope="" ma:versionID="2523fe417aa70dc36f66677c609f04da">
  <xsd:schema xmlns:xsd="http://www.w3.org/2001/XMLSchema" xmlns:xs="http://www.w3.org/2001/XMLSchema" xmlns:p="http://schemas.microsoft.com/office/2006/metadata/properties" xmlns:ns3="29196ae9-b860-43c2-8483-6a6adfdf110b" xmlns:ns4="ad0b0311-30a3-411b-a387-92c56c1d769a" targetNamespace="http://schemas.microsoft.com/office/2006/metadata/properties" ma:root="true" ma:fieldsID="029e579e09dda77e9dc2dce3e3a27767" ns3:_="" ns4:_="">
    <xsd:import namespace="29196ae9-b860-43c2-8483-6a6adfdf110b"/>
    <xsd:import namespace="ad0b0311-30a3-411b-a387-92c56c1d76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96ae9-b860-43c2-8483-6a6adfdf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b0311-30a3-411b-a387-92c56c1d7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C84A1-2B6F-4DAB-92BE-AEB4233EA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96ae9-b860-43c2-8483-6a6adfdf110b"/>
    <ds:schemaRef ds:uri="ad0b0311-30a3-411b-a387-92c56c1d7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CE0B1-762F-424B-BF54-70F477205ACD}">
  <ds:schemaRefs>
    <ds:schemaRef ds:uri="ad0b0311-30a3-411b-a387-92c56c1d76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9196ae9-b860-43c2-8483-6a6adfdf110b"/>
    <ds:schemaRef ds:uri="http://www.w3.org/XML/1998/namespace"/>
  </ds:schemaRefs>
</ds:datastoreItem>
</file>

<file path=customXml/itemProps3.xml><?xml version="1.0" encoding="utf-8"?>
<ds:datastoreItem xmlns:ds="http://schemas.openxmlformats.org/officeDocument/2006/customXml" ds:itemID="{4948FC8C-41C3-462E-A075-F0DF2C99A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1346</Words>
  <Characters>7673</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9001</CharactersWithSpaces>
  <SharedDoc>false</SharedDoc>
  <HLinks>
    <vt:vector size="6" baseType="variant">
      <vt:variant>
        <vt:i4>4653166</vt:i4>
      </vt:variant>
      <vt:variant>
        <vt:i4>0</vt:i4>
      </vt:variant>
      <vt:variant>
        <vt:i4>0</vt:i4>
      </vt:variant>
      <vt:variant>
        <vt:i4>5</vt:i4>
      </vt:variant>
      <vt:variant>
        <vt:lpwstr>mailto:occhealth@admin.cam.ac.uk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Lapish</dc:creator>
  <cp:lastModifiedBy>FRASER Lorna</cp:lastModifiedBy>
  <cp:revision>2</cp:revision>
  <cp:lastPrinted>2019-11-07T15:38:00Z</cp:lastPrinted>
  <dcterms:created xsi:type="dcterms:W3CDTF">2020-08-19T13:05:00Z</dcterms:created>
  <dcterms:modified xsi:type="dcterms:W3CDTF">2020-08-19T13:05:00Z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0x010100606C73F3639B4748B0137B309FC2874A</vt:lpwstr>
  </property>
</Properties>
</file>